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3180" w14:textId="77777777" w:rsidR="00362E6F" w:rsidRDefault="00362E6F" w:rsidP="007C42A1">
      <w:pPr>
        <w:pStyle w:val="Title"/>
      </w:pPr>
      <w:r>
        <w:t>Sure Klean</w:t>
      </w:r>
      <w:r>
        <w:rPr>
          <w:vertAlign w:val="superscript"/>
        </w:rPr>
        <w:t>®</w:t>
      </w:r>
      <w:r>
        <w:rPr>
          <w:szCs w:val="10"/>
        </w:rPr>
        <w:t xml:space="preserve"> Dicone </w:t>
      </w:r>
      <w:r w:rsidRPr="007C42A1">
        <w:t>NC15</w:t>
      </w:r>
      <w:r>
        <w:t xml:space="preserve"> Silicone Sealant &amp; Adhesive Remover Specification </w:t>
      </w:r>
    </w:p>
    <w:p w14:paraId="0874B546" w14:textId="77777777" w:rsidR="00362E6F" w:rsidRPr="007C42A1" w:rsidRDefault="00362E6F" w:rsidP="007C42A1"/>
    <w:p w14:paraId="005AF3A2" w14:textId="69418AD8" w:rsidR="00362E6F" w:rsidRPr="007C42A1" w:rsidRDefault="00362E6F" w:rsidP="007C42A1">
      <w:pPr>
        <w:rPr>
          <w:rStyle w:val="Emphasis"/>
        </w:rPr>
      </w:pPr>
      <w:r w:rsidRPr="007C42A1">
        <w:rPr>
          <w:rStyle w:val="Emphasis"/>
        </w:rPr>
        <w:t>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w:t>
      </w:r>
      <w:r w:rsidR="007C42A1" w:rsidRPr="007C42A1">
        <w:rPr>
          <w:rStyle w:val="Emphasis"/>
        </w:rPr>
        <w:t>.</w:t>
      </w:r>
    </w:p>
    <w:p w14:paraId="3C413FFB" w14:textId="77777777" w:rsidR="00362E6F" w:rsidRPr="007C42A1" w:rsidRDefault="00362E6F" w:rsidP="007C42A1"/>
    <w:p w14:paraId="2E404785" w14:textId="77777777" w:rsidR="00362E6F" w:rsidRPr="007C42A1" w:rsidRDefault="00362E6F" w:rsidP="007C42A1">
      <w:pPr>
        <w:rPr>
          <w:rStyle w:val="Emphasis"/>
        </w:rPr>
      </w:pPr>
      <w:r w:rsidRPr="007C42A1">
        <w:rPr>
          <w:rStyle w:val="Emphasis"/>
        </w:rPr>
        <w:t xml:space="preserve">Specifier Note:  Paragraph below is for PART 1 GENERAL, Quality Assurance.  </w:t>
      </w:r>
    </w:p>
    <w:p w14:paraId="7304782E" w14:textId="77777777" w:rsidR="00362E6F" w:rsidRPr="007C42A1" w:rsidRDefault="00362E6F" w:rsidP="007C42A1"/>
    <w:p w14:paraId="0D8365C4" w14:textId="77777777" w:rsidR="00362E6F" w:rsidRPr="007C42A1" w:rsidRDefault="00362E6F" w:rsidP="007C42A1">
      <w:pPr>
        <w:pStyle w:val="Heading1"/>
      </w:pPr>
      <w:r w:rsidRPr="007C42A1">
        <w:t xml:space="preserve">Test Area </w:t>
      </w:r>
    </w:p>
    <w:p w14:paraId="04E3B6CC" w14:textId="77777777" w:rsidR="00362E6F" w:rsidRPr="007C42A1" w:rsidRDefault="00362E6F" w:rsidP="007C42A1">
      <w:r w:rsidRPr="007C42A1">
        <w:t xml:space="preserve">Test a minimum 4 ft. by 4 ft. area on each type of masonry. Use manufacturer’s application instructions.  Let the test panel dry 3 to 7 days before inspection. Keep test panels available for comparison throughout the cleaning project.    </w:t>
      </w:r>
    </w:p>
    <w:p w14:paraId="2EE85221" w14:textId="77777777" w:rsidR="00362E6F" w:rsidRPr="007C42A1" w:rsidRDefault="00362E6F" w:rsidP="007C42A1"/>
    <w:p w14:paraId="21A3814D" w14:textId="77777777" w:rsidR="00362E6F" w:rsidRPr="007C42A1" w:rsidRDefault="00362E6F" w:rsidP="007C42A1">
      <w:pPr>
        <w:rPr>
          <w:rStyle w:val="Emphasis"/>
        </w:rPr>
      </w:pPr>
      <w:r w:rsidRPr="007C42A1">
        <w:rPr>
          <w:rStyle w:val="Emphasis"/>
        </w:rPr>
        <w:t xml:space="preserve">Specifier Note:  Paragraphs below are for PART 2 PRODUCTS, Manufacturers and Products.  </w:t>
      </w:r>
    </w:p>
    <w:p w14:paraId="18A41B20" w14:textId="77777777" w:rsidR="00362E6F" w:rsidRPr="007C42A1" w:rsidRDefault="00362E6F" w:rsidP="007C42A1"/>
    <w:p w14:paraId="32B86F8F" w14:textId="77777777" w:rsidR="007C42A1" w:rsidRDefault="00362E6F" w:rsidP="007C42A1">
      <w:pPr>
        <w:pStyle w:val="Heading1"/>
      </w:pPr>
      <w:r w:rsidRPr="007C42A1">
        <w:t>Manufacturer</w:t>
      </w:r>
    </w:p>
    <w:p w14:paraId="6AB15E48" w14:textId="3303C565" w:rsidR="00362E6F" w:rsidRPr="007C42A1" w:rsidRDefault="00362E6F" w:rsidP="007C42A1">
      <w:r w:rsidRPr="007C42A1">
        <w:t xml:space="preserve">PROSOCO, Inc., 3741 Greenway Circle, Lawrence, KS 66046.  Phone: (800) 255-4255; Fax: (785) 830-9797.  E-mail:  </w:t>
      </w:r>
      <w:hyperlink r:id="rId5" w:history="1">
        <w:r w:rsidRPr="007C42A1">
          <w:rPr>
            <w:rStyle w:val="Hyperlink"/>
          </w:rPr>
          <w:t>CustomerCare@prosoco.com</w:t>
        </w:r>
      </w:hyperlink>
    </w:p>
    <w:p w14:paraId="317AF12F" w14:textId="77777777" w:rsidR="00362E6F" w:rsidRPr="007C42A1" w:rsidRDefault="00362E6F" w:rsidP="007C42A1"/>
    <w:p w14:paraId="548369AC" w14:textId="77777777" w:rsidR="00362E6F" w:rsidRPr="007C42A1" w:rsidRDefault="00362E6F" w:rsidP="007C42A1">
      <w:pPr>
        <w:pStyle w:val="Heading1"/>
      </w:pPr>
      <w:r w:rsidRPr="007C42A1">
        <w:t>Product Description</w:t>
      </w:r>
    </w:p>
    <w:p w14:paraId="5079BDE8" w14:textId="08F13E46" w:rsidR="00362E6F" w:rsidRPr="007C42A1" w:rsidRDefault="00362E6F" w:rsidP="007C42A1">
      <w:r w:rsidRPr="007C42A1">
        <w:t>Sure Klean</w:t>
      </w:r>
      <w:r w:rsidRPr="007C42A1">
        <w:rPr>
          <w:vertAlign w:val="superscript"/>
        </w:rPr>
        <w:t>®</w:t>
      </w:r>
      <w:r w:rsidRPr="007C42A1">
        <w:t xml:space="preserve"> Dicone NC15 Gel is a silicone “digestant” that removes silicone-based sealants and adhesives, cured silicone elastomers and silicone water repellent overspray. NC15 </w:t>
      </w:r>
      <w:r w:rsidR="00C8535E">
        <w:t xml:space="preserve">Gel </w:t>
      </w:r>
      <w:r w:rsidRPr="007C42A1">
        <w:t xml:space="preserve">is formulated to a gel </w:t>
      </w:r>
      <w:r w:rsidR="00734EC0" w:rsidRPr="007C42A1">
        <w:t>v</w:t>
      </w:r>
      <w:r w:rsidRPr="007C42A1">
        <w:t xml:space="preserve">iscosity for application to vertical surfaces and to allow for extended dwell times required to remove heavy sealant and adhesive residues. </w:t>
      </w:r>
      <w:r w:rsidR="00C8535E">
        <w:t xml:space="preserve">Dicone </w:t>
      </w:r>
      <w:r w:rsidRPr="007C42A1">
        <w:t xml:space="preserve">NC15 </w:t>
      </w:r>
      <w:r w:rsidR="00C8535E">
        <w:t xml:space="preserve">Gel </w:t>
      </w:r>
      <w:r w:rsidRPr="007C42A1">
        <w:t>removes silicone residues from brick, concrete, natural stone and most glass surfaces.</w:t>
      </w:r>
      <w:r w:rsidR="00C21C63" w:rsidRPr="007C42A1">
        <w:t xml:space="preserve"> Dicone NC15 Gel complies with all known VOC regulations for specialty adhesive removers.</w:t>
      </w:r>
    </w:p>
    <w:p w14:paraId="69773FA0" w14:textId="77777777" w:rsidR="00362E6F" w:rsidRPr="007C42A1" w:rsidRDefault="00362E6F" w:rsidP="007C42A1"/>
    <w:p w14:paraId="1ED0CEDE" w14:textId="373EE99D" w:rsidR="00362E6F" w:rsidRPr="007C42A1" w:rsidRDefault="007C42A1" w:rsidP="007C42A1">
      <w:pPr>
        <w:pStyle w:val="Heading1"/>
      </w:pPr>
      <w:r>
        <w:t xml:space="preserve">TYPICAL </w:t>
      </w:r>
      <w:r w:rsidR="00362E6F" w:rsidRPr="007C42A1">
        <w:t>Technical Data</w:t>
      </w:r>
    </w:p>
    <w:p w14:paraId="4B9CEA26" w14:textId="724E7ACE" w:rsidR="00362E6F" w:rsidRPr="007C42A1" w:rsidRDefault="00362E6F" w:rsidP="007C42A1">
      <w:pPr>
        <w:ind w:left="720"/>
      </w:pPr>
      <w:r w:rsidRPr="007C42A1">
        <w:t xml:space="preserve">FORM: </w:t>
      </w:r>
      <w:r w:rsidR="00C8535E">
        <w:t xml:space="preserve">Opaque, </w:t>
      </w:r>
      <w:r w:rsidRPr="007C42A1">
        <w:t>brown gel</w:t>
      </w:r>
      <w:r w:rsidR="00C8535E">
        <w:t xml:space="preserve"> with petroleum odor</w:t>
      </w:r>
    </w:p>
    <w:p w14:paraId="5DCF82ED" w14:textId="77777777" w:rsidR="00362E6F" w:rsidRPr="007C42A1" w:rsidRDefault="00362E6F" w:rsidP="007C42A1">
      <w:pPr>
        <w:ind w:left="720"/>
      </w:pPr>
      <w:r w:rsidRPr="007C42A1">
        <w:t xml:space="preserve">SPECIFIC GRAVITY: </w:t>
      </w:r>
      <w:r w:rsidR="00C21C63" w:rsidRPr="007C42A1">
        <w:t>0.727</w:t>
      </w:r>
    </w:p>
    <w:p w14:paraId="7CDEB71A" w14:textId="77777777" w:rsidR="00362E6F" w:rsidRPr="007C42A1" w:rsidRDefault="00362E6F" w:rsidP="007C42A1">
      <w:pPr>
        <w:ind w:left="720"/>
      </w:pPr>
      <w:r w:rsidRPr="007C42A1">
        <w:t>TOTAL SOLIDS: 20%</w:t>
      </w:r>
    </w:p>
    <w:p w14:paraId="07236E10" w14:textId="03B5B11E" w:rsidR="00362E6F" w:rsidRPr="007C42A1" w:rsidRDefault="00362E6F" w:rsidP="007C42A1">
      <w:pPr>
        <w:ind w:left="720"/>
      </w:pPr>
      <w:r w:rsidRPr="007C42A1">
        <w:t xml:space="preserve">pH: </w:t>
      </w:r>
      <w:r w:rsidR="00C8535E">
        <w:t xml:space="preserve">0 to </w:t>
      </w:r>
      <w:r w:rsidRPr="007C42A1">
        <w:t>1 (anhydrous concentrate)</w:t>
      </w:r>
    </w:p>
    <w:p w14:paraId="75421AF9" w14:textId="318C62C1" w:rsidR="00362E6F" w:rsidRPr="007C42A1" w:rsidRDefault="00362E6F" w:rsidP="007C42A1">
      <w:pPr>
        <w:ind w:left="720"/>
      </w:pPr>
      <w:r w:rsidRPr="007C42A1">
        <w:t>W</w:t>
      </w:r>
      <w:r w:rsidR="00C8535E">
        <w:t>EIGHT PER GALLON</w:t>
      </w:r>
      <w:r w:rsidRPr="007C42A1">
        <w:t xml:space="preserve">: </w:t>
      </w:r>
      <w:r w:rsidR="00C21C63" w:rsidRPr="007C42A1">
        <w:t>6.06</w:t>
      </w:r>
      <w:r w:rsidRPr="007C42A1">
        <w:t xml:space="preserve"> </w:t>
      </w:r>
      <w:r w:rsidR="00C8535E">
        <w:t>pounds</w:t>
      </w:r>
    </w:p>
    <w:p w14:paraId="56A1E023" w14:textId="5A1A0F47" w:rsidR="00C8535E" w:rsidRDefault="00C8535E" w:rsidP="007C42A1">
      <w:pPr>
        <w:ind w:left="720"/>
      </w:pPr>
      <w:r>
        <w:t>TOTAL SOLIDS: 20 percent</w:t>
      </w:r>
    </w:p>
    <w:p w14:paraId="0411C762" w14:textId="496D1678" w:rsidR="00362E6F" w:rsidRPr="007C42A1" w:rsidRDefault="00362E6F" w:rsidP="007C42A1">
      <w:pPr>
        <w:ind w:left="720"/>
      </w:pPr>
      <w:r w:rsidRPr="007C42A1">
        <w:t xml:space="preserve">FLASH POINT: </w:t>
      </w:r>
      <w:r w:rsidR="00C8535E">
        <w:t xml:space="preserve">greater than </w:t>
      </w:r>
      <w:r w:rsidR="00C21C63" w:rsidRPr="007C42A1">
        <w:t xml:space="preserve">200 </w:t>
      </w:r>
      <w:r w:rsidRPr="007C42A1">
        <w:t>degrees F (</w:t>
      </w:r>
      <w:r w:rsidR="00C8535E">
        <w:t xml:space="preserve">greater than </w:t>
      </w:r>
      <w:r w:rsidR="00C21C63" w:rsidRPr="007C42A1">
        <w:t xml:space="preserve">93 </w:t>
      </w:r>
      <w:r w:rsidRPr="007C42A1">
        <w:t xml:space="preserve">degrees C) </w:t>
      </w:r>
    </w:p>
    <w:p w14:paraId="391AB712" w14:textId="5CFD3283" w:rsidR="00362E6F" w:rsidRPr="007C42A1" w:rsidRDefault="00362E6F" w:rsidP="007C42A1">
      <w:pPr>
        <w:ind w:left="720"/>
      </w:pPr>
      <w:r w:rsidRPr="007C42A1">
        <w:t xml:space="preserve">FREEZE POINT: </w:t>
      </w:r>
      <w:r w:rsidR="00C8535E">
        <w:t>less than</w:t>
      </w:r>
      <w:r w:rsidRPr="007C42A1">
        <w:t xml:space="preserve"> -22 degrees F (</w:t>
      </w:r>
      <w:r w:rsidR="00C8535E">
        <w:t>less than</w:t>
      </w:r>
      <w:r w:rsidRPr="007C42A1">
        <w:t xml:space="preserve"> -30 degrees C)</w:t>
      </w:r>
    </w:p>
    <w:p w14:paraId="50EDF76B" w14:textId="26261B14" w:rsidR="00C21C63" w:rsidRPr="007C42A1" w:rsidRDefault="00C21C63" w:rsidP="007C42A1">
      <w:pPr>
        <w:ind w:left="720"/>
      </w:pPr>
      <w:r w:rsidRPr="007C42A1">
        <w:t xml:space="preserve">SHELF LIFE:  1 year in </w:t>
      </w:r>
      <w:r w:rsidR="00C8535E">
        <w:t xml:space="preserve">tightly sealed, </w:t>
      </w:r>
      <w:r w:rsidRPr="007C42A1">
        <w:t>unopened</w:t>
      </w:r>
      <w:r w:rsidR="00C8535E">
        <w:t xml:space="preserve"> </w:t>
      </w:r>
      <w:r w:rsidRPr="007C42A1">
        <w:t>container</w:t>
      </w:r>
    </w:p>
    <w:p w14:paraId="5439A175" w14:textId="3EEDA230" w:rsidR="00C21C63" w:rsidRPr="007C42A1" w:rsidRDefault="00C21C63" w:rsidP="007C42A1">
      <w:pPr>
        <w:ind w:left="720"/>
      </w:pPr>
      <w:r w:rsidRPr="007C42A1">
        <w:t xml:space="preserve">VOC </w:t>
      </w:r>
      <w:r w:rsidR="00C8535E">
        <w:t>CONTENT</w:t>
      </w:r>
      <w:r w:rsidRPr="007C42A1">
        <w:t xml:space="preserve">: </w:t>
      </w:r>
      <w:r w:rsidR="00C8535E">
        <w:t>less than 1 percent</w:t>
      </w:r>
    </w:p>
    <w:p w14:paraId="41F3DA53" w14:textId="77777777" w:rsidR="00362E6F" w:rsidRPr="007C42A1" w:rsidRDefault="00362E6F" w:rsidP="007C42A1"/>
    <w:p w14:paraId="430B6D4E" w14:textId="77777777" w:rsidR="00362E6F" w:rsidRPr="007C42A1" w:rsidRDefault="00362E6F" w:rsidP="007C42A1">
      <w:pPr>
        <w:pStyle w:val="Heading1"/>
      </w:pPr>
      <w:r w:rsidRPr="007C42A1">
        <w:t>Limitations</w:t>
      </w:r>
    </w:p>
    <w:p w14:paraId="286D2A4B" w14:textId="1A0D7E21" w:rsidR="00362E6F" w:rsidRPr="007C42A1" w:rsidRDefault="00362E6F" w:rsidP="007C42A1">
      <w:pPr>
        <w:numPr>
          <w:ilvl w:val="0"/>
          <w:numId w:val="5"/>
        </w:numPr>
      </w:pPr>
      <w:r w:rsidRPr="007C42A1">
        <w:t xml:space="preserve">Product efficiency is reduced when temperatures are below 40 degrees F </w:t>
      </w:r>
      <w:r w:rsidR="00C8535E">
        <w:t xml:space="preserve">(4 degrees C) </w:t>
      </w:r>
      <w:r w:rsidRPr="007C42A1">
        <w:t>and above 85 degrees F</w:t>
      </w:r>
      <w:r w:rsidR="00C8535E">
        <w:t xml:space="preserve"> (29 degrees C)</w:t>
      </w:r>
      <w:r w:rsidRPr="007C42A1">
        <w:t>.</w:t>
      </w:r>
    </w:p>
    <w:p w14:paraId="7EFC5ABB" w14:textId="77777777" w:rsidR="00362E6F" w:rsidRPr="007C42A1" w:rsidRDefault="00362E6F" w:rsidP="007C42A1">
      <w:pPr>
        <w:numPr>
          <w:ilvl w:val="0"/>
          <w:numId w:val="5"/>
        </w:numPr>
      </w:pPr>
      <w:r w:rsidRPr="007C42A1">
        <w:lastRenderedPageBreak/>
        <w:t>Contact with water reduces product effectiveness.</w:t>
      </w:r>
    </w:p>
    <w:p w14:paraId="3231AFD2" w14:textId="77777777" w:rsidR="00362E6F" w:rsidRPr="007C42A1" w:rsidRDefault="00362E6F" w:rsidP="007C42A1">
      <w:pPr>
        <w:numPr>
          <w:ilvl w:val="0"/>
          <w:numId w:val="5"/>
        </w:numPr>
      </w:pPr>
      <w:r w:rsidRPr="007C42A1">
        <w:t>Not recommended for direct contact with wood or finished wood surfaces.</w:t>
      </w:r>
    </w:p>
    <w:p w14:paraId="3732D6BE" w14:textId="77777777" w:rsidR="00362E6F" w:rsidRPr="007C42A1" w:rsidRDefault="00362E6F" w:rsidP="007C42A1">
      <w:pPr>
        <w:numPr>
          <w:ilvl w:val="0"/>
          <w:numId w:val="5"/>
        </w:numPr>
      </w:pPr>
      <w:r w:rsidRPr="007C42A1">
        <w:t>May damage or discolor some paints and metal finishes. Will attack nylon and similar synthetic coatings and finishes. Always test before large-scale applications.</w:t>
      </w:r>
    </w:p>
    <w:p w14:paraId="34650D7E" w14:textId="77777777" w:rsidR="00362E6F" w:rsidRPr="007C42A1" w:rsidRDefault="00362E6F" w:rsidP="007C42A1"/>
    <w:p w14:paraId="23C365C7" w14:textId="77777777" w:rsidR="00362E6F" w:rsidRPr="007C42A1" w:rsidRDefault="00362E6F" w:rsidP="007C42A1">
      <w:pPr>
        <w:rPr>
          <w:rStyle w:val="Emphasis"/>
        </w:rPr>
      </w:pPr>
      <w:r w:rsidRPr="007C42A1">
        <w:rPr>
          <w:rStyle w:val="Emphasis"/>
        </w:rPr>
        <w:t>Specifier Note:  Paragraphs below are for PART 3 EXECUTION, Installation.</w:t>
      </w:r>
    </w:p>
    <w:p w14:paraId="1A245651" w14:textId="77777777" w:rsidR="00362E6F" w:rsidRPr="007C42A1" w:rsidRDefault="00362E6F" w:rsidP="007C42A1"/>
    <w:p w14:paraId="7F101ECA" w14:textId="77777777" w:rsidR="00362E6F" w:rsidRPr="007C42A1" w:rsidRDefault="00362E6F" w:rsidP="007C42A1">
      <w:pPr>
        <w:pStyle w:val="Heading1"/>
      </w:pPr>
      <w:r w:rsidRPr="007C42A1">
        <w:t>Application</w:t>
      </w:r>
    </w:p>
    <w:p w14:paraId="287A2285" w14:textId="529F0AAD" w:rsidR="00362E6F" w:rsidRPr="007C42A1" w:rsidRDefault="00362E6F" w:rsidP="007C42A1">
      <w:r w:rsidRPr="007C42A1">
        <w:t>Before applying, read “P</w:t>
      </w:r>
      <w:r w:rsidR="00135296" w:rsidRPr="007C42A1">
        <w:t>reparation</w:t>
      </w:r>
      <w:r w:rsidRPr="007C42A1">
        <w:t>” and “</w:t>
      </w:r>
      <w:r w:rsidR="00135296" w:rsidRPr="007C42A1">
        <w:t>Safety Information</w:t>
      </w:r>
      <w:r w:rsidRPr="007C42A1">
        <w:t>” sections in the Manufacturer’s Product Data Sheet for Dicone NC15 Gel.  Do not dilute or alter</w:t>
      </w:r>
      <w:r w:rsidR="00C8535E">
        <w:t xml:space="preserve">. Mix thoroughly before use. A small amount of liquid forms on top of the gel during storage; the liquid is easily re-dispersed by light mixing with a clean stirring stick. </w:t>
      </w:r>
    </w:p>
    <w:p w14:paraId="708B1AF6" w14:textId="77777777" w:rsidR="00362E6F" w:rsidRPr="007C42A1" w:rsidRDefault="00362E6F" w:rsidP="007C42A1"/>
    <w:p w14:paraId="05F3D2A9" w14:textId="52211287" w:rsidR="00362E6F" w:rsidRPr="007C42A1" w:rsidRDefault="00362E6F" w:rsidP="007C42A1">
      <w:pPr>
        <w:numPr>
          <w:ilvl w:val="0"/>
          <w:numId w:val="7"/>
        </w:numPr>
      </w:pPr>
      <w:r w:rsidRPr="007C42A1">
        <w:t xml:space="preserve">Apply enough </w:t>
      </w:r>
      <w:r w:rsidR="00C8535E">
        <w:t xml:space="preserve">Dicone </w:t>
      </w:r>
      <w:r w:rsidRPr="007C42A1">
        <w:t>NC15 to produce a 1/8</w:t>
      </w:r>
      <w:r w:rsidR="00C8535E">
        <w:t xml:space="preserve"> inch</w:t>
      </w:r>
      <w:r w:rsidRPr="007C42A1">
        <w:t xml:space="preserve"> to </w:t>
      </w:r>
      <w:r w:rsidR="00C8535E">
        <w:t>¼ inch</w:t>
      </w:r>
      <w:r w:rsidRPr="007C42A1">
        <w:t xml:space="preserve"> buildup over the stain or residue to be removed.</w:t>
      </w:r>
    </w:p>
    <w:p w14:paraId="75E559B5" w14:textId="0FAD26FD" w:rsidR="00362E6F" w:rsidRDefault="00362E6F" w:rsidP="007C42A1">
      <w:pPr>
        <w:numPr>
          <w:ilvl w:val="0"/>
          <w:numId w:val="7"/>
        </w:numPr>
      </w:pPr>
      <w:r w:rsidRPr="007C42A1">
        <w:t xml:space="preserve">Let NC15 dwell for 15 </w:t>
      </w:r>
      <w:r w:rsidR="00C8535E">
        <w:t>to</w:t>
      </w:r>
      <w:r w:rsidRPr="007C42A1">
        <w:t xml:space="preserve"> 30 minutes or until residue softens, “lifts” or shows signs of dissolving. </w:t>
      </w:r>
      <w:r w:rsidR="00C8535E">
        <w:t xml:space="preserve">Dicone </w:t>
      </w:r>
      <w:r w:rsidRPr="007C42A1">
        <w:t>NC15 may be left on the surface for several hours to remove heavy buildup.</w:t>
      </w:r>
    </w:p>
    <w:p w14:paraId="758ACD1B" w14:textId="77777777" w:rsidR="00C8535E" w:rsidRDefault="00C8535E" w:rsidP="00C8535E">
      <w:pPr>
        <w:ind w:left="720"/>
      </w:pPr>
    </w:p>
    <w:p w14:paraId="00BD5EE1" w14:textId="358CCC6A" w:rsidR="00C8535E" w:rsidRDefault="00C8535E" w:rsidP="00C8535E">
      <w:pPr>
        <w:ind w:left="1440" w:hanging="720"/>
      </w:pPr>
      <w:r>
        <w:t>SPECIFIER NOTE: Do not allow product to dry on the surface. If tests indicate long waiting periods are necessary, reapply gel to prevent drying.</w:t>
      </w:r>
    </w:p>
    <w:p w14:paraId="0B57776A" w14:textId="77777777" w:rsidR="00C8535E" w:rsidRPr="007C42A1" w:rsidRDefault="00C8535E" w:rsidP="00C8535E">
      <w:pPr>
        <w:ind w:left="720"/>
      </w:pPr>
    </w:p>
    <w:p w14:paraId="3FC4B32B" w14:textId="07A65654" w:rsidR="00C8535E" w:rsidRDefault="00362E6F" w:rsidP="007C42A1">
      <w:pPr>
        <w:numPr>
          <w:ilvl w:val="0"/>
          <w:numId w:val="7"/>
        </w:numPr>
      </w:pPr>
      <w:r w:rsidRPr="007C42A1">
        <w:t>Remove NC15 and residues using pressure water rinsing equipment</w:t>
      </w:r>
      <w:r w:rsidR="00C8535E">
        <w:t xml:space="preserve"> working from the bottom to the top</w:t>
      </w:r>
      <w:r w:rsidRPr="007C42A1">
        <w:t xml:space="preserve">. </w:t>
      </w:r>
      <w:r w:rsidR="00C8535E" w:rsidRPr="007C42A1">
        <w:t>Rinse thoroughly to ensure all residues are removed from the surface.</w:t>
      </w:r>
      <w:r w:rsidR="00C8535E">
        <w:t xml:space="preserve"> </w:t>
      </w:r>
      <w:r w:rsidR="00C8535E" w:rsidRPr="007C42A1">
        <w:t xml:space="preserve">Where such equipment cannot be used, brush the treated surface vigorously with a soft bristle brush and warm water. </w:t>
      </w:r>
    </w:p>
    <w:p w14:paraId="23CEF692" w14:textId="77777777" w:rsidR="00C8535E" w:rsidRDefault="00C8535E" w:rsidP="00C8535E">
      <w:pPr>
        <w:ind w:left="720"/>
      </w:pPr>
    </w:p>
    <w:p w14:paraId="7AAF7D6B" w14:textId="386C85CE" w:rsidR="00A05491" w:rsidRDefault="00C8535E" w:rsidP="00C8535E">
      <w:pPr>
        <w:ind w:left="1440" w:hanging="720"/>
      </w:pPr>
      <w:r>
        <w:t xml:space="preserve">SPECIFIER NOTE: </w:t>
      </w:r>
      <w:r w:rsidR="00E847AD" w:rsidRPr="007C42A1">
        <w:t>The best combination of rinsing pressure and water volume is provided by masonry washing equipment generating 400</w:t>
      </w:r>
      <w:r>
        <w:t xml:space="preserve"> to </w:t>
      </w:r>
      <w:r w:rsidR="00E847AD" w:rsidRPr="007C42A1">
        <w:t>1000 psi with a water flow rate of 6</w:t>
      </w:r>
      <w:r>
        <w:t xml:space="preserve"> to </w:t>
      </w:r>
      <w:r w:rsidR="00E847AD" w:rsidRPr="007C42A1">
        <w:t>8 gallons per minute delivered through a 15</w:t>
      </w:r>
      <w:r>
        <w:t xml:space="preserve"> to </w:t>
      </w:r>
      <w:r w:rsidR="00E847AD" w:rsidRPr="007C42A1">
        <w:t xml:space="preserve">45 degree fan spray tip. Equipment should be adjustable to reduce water flow rate and rinsing pressure as required for controlled cleaning of more sensitive surfaces. See also “Equipment” section of the Product Data Sheet. </w:t>
      </w:r>
    </w:p>
    <w:p w14:paraId="3655F166" w14:textId="77777777" w:rsidR="00C8535E" w:rsidRPr="007C42A1" w:rsidRDefault="00C8535E" w:rsidP="00C8535E">
      <w:pPr>
        <w:ind w:left="1440" w:hanging="720"/>
      </w:pPr>
    </w:p>
    <w:p w14:paraId="6BCFFFF4" w14:textId="12C73155" w:rsidR="00362E6F" w:rsidRPr="007C42A1" w:rsidRDefault="00362E6F" w:rsidP="007C42A1">
      <w:pPr>
        <w:numPr>
          <w:ilvl w:val="0"/>
          <w:numId w:val="7"/>
        </w:numPr>
      </w:pPr>
      <w:r w:rsidRPr="007C42A1">
        <w:t>Reapply as required, repeating steps 1</w:t>
      </w:r>
      <w:r w:rsidR="00C8535E">
        <w:t xml:space="preserve"> through</w:t>
      </w:r>
      <w:r w:rsidRPr="007C42A1">
        <w:t xml:space="preserve"> </w:t>
      </w:r>
      <w:r w:rsidR="00C8535E">
        <w:t>3</w:t>
      </w:r>
      <w:r w:rsidRPr="007C42A1">
        <w:t>.</w:t>
      </w:r>
    </w:p>
    <w:p w14:paraId="259B332C" w14:textId="77777777" w:rsidR="00362E6F" w:rsidRPr="007C42A1" w:rsidRDefault="00362E6F" w:rsidP="007C42A1"/>
    <w:p w14:paraId="6BA0C367" w14:textId="08BA9CED" w:rsidR="00C8535E" w:rsidRDefault="00C8535E" w:rsidP="00C8535E">
      <w:pPr>
        <w:ind w:left="1080" w:hanging="720"/>
        <w:rPr>
          <w:rFonts w:cs="Clarendon LT Std Light"/>
          <w:color w:val="221E1F"/>
          <w:sz w:val="22"/>
          <w:szCs w:val="22"/>
        </w:rPr>
      </w:pPr>
      <w:r>
        <w:rPr>
          <w:rFonts w:cs="Clarendon LT Std Light"/>
          <w:color w:val="221E1F"/>
          <w:sz w:val="22"/>
          <w:szCs w:val="22"/>
        </w:rPr>
        <w:t xml:space="preserve">SPECIFIER </w:t>
      </w:r>
      <w:r>
        <w:rPr>
          <w:rFonts w:cs="Clarendon LT Std Light"/>
          <w:color w:val="221E1F"/>
          <w:sz w:val="22"/>
          <w:szCs w:val="22"/>
        </w:rPr>
        <w:t>NOTE: Some sealants and adhesives require multiple applications and/or increased dwell times for complete removal.</w:t>
      </w:r>
    </w:p>
    <w:p w14:paraId="7A22DFD3" w14:textId="77777777" w:rsidR="00C8535E" w:rsidRDefault="00C8535E" w:rsidP="00C8535E">
      <w:pPr>
        <w:ind w:left="1080" w:hanging="720"/>
      </w:pPr>
    </w:p>
    <w:p w14:paraId="77AAC031" w14:textId="2114F735" w:rsidR="00362E6F" w:rsidRPr="007C42A1" w:rsidRDefault="007C42A1" w:rsidP="00C8535E">
      <w:pPr>
        <w:ind w:left="1080" w:hanging="720"/>
      </w:pPr>
      <w:r>
        <w:t xml:space="preserve">SPECIFIER NOTE: </w:t>
      </w:r>
      <w:r w:rsidR="00362E6F" w:rsidRPr="007C42A1">
        <w:t xml:space="preserve">If </w:t>
      </w:r>
      <w:r w:rsidR="00CC07AE" w:rsidRPr="007C42A1">
        <w:t xml:space="preserve">adhesive </w:t>
      </w:r>
      <w:r w:rsidR="00734EC0" w:rsidRPr="007C42A1">
        <w:t xml:space="preserve">or </w:t>
      </w:r>
      <w:r w:rsidR="00CC07AE" w:rsidRPr="007C42A1">
        <w:t xml:space="preserve">sealant </w:t>
      </w:r>
      <w:r w:rsidR="00362E6F" w:rsidRPr="007C42A1">
        <w:t>residues remain after water rinsing, let surface dry before reapplying NC15 Gel. Reapplication to damp or wet surfaces greatly reduces effectiveness.</w:t>
      </w:r>
    </w:p>
    <w:sectPr w:rsidR="00362E6F" w:rsidRPr="007C42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685"/>
    <w:multiLevelType w:val="hybridMultilevel"/>
    <w:tmpl w:val="7794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C767D"/>
    <w:multiLevelType w:val="hybridMultilevel"/>
    <w:tmpl w:val="BAAA7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C2024"/>
    <w:multiLevelType w:val="hybridMultilevel"/>
    <w:tmpl w:val="C35E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215AF"/>
    <w:multiLevelType w:val="hybridMultilevel"/>
    <w:tmpl w:val="134EFD90"/>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91863">
    <w:abstractNumId w:val="4"/>
  </w:num>
  <w:num w:numId="2" w16cid:durableId="1886519858">
    <w:abstractNumId w:val="5"/>
  </w:num>
  <w:num w:numId="3" w16cid:durableId="1494108080">
    <w:abstractNumId w:val="3"/>
  </w:num>
  <w:num w:numId="4" w16cid:durableId="1937133805">
    <w:abstractNumId w:val="6"/>
  </w:num>
  <w:num w:numId="5" w16cid:durableId="1791972534">
    <w:abstractNumId w:val="0"/>
  </w:num>
  <w:num w:numId="6" w16cid:durableId="547768955">
    <w:abstractNumId w:val="1"/>
  </w:num>
  <w:num w:numId="7" w16cid:durableId="180866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C8"/>
    <w:rsid w:val="00135296"/>
    <w:rsid w:val="002A238F"/>
    <w:rsid w:val="0033209E"/>
    <w:rsid w:val="00362E6F"/>
    <w:rsid w:val="004040C8"/>
    <w:rsid w:val="0053260A"/>
    <w:rsid w:val="00734EC0"/>
    <w:rsid w:val="007C42A1"/>
    <w:rsid w:val="007F0131"/>
    <w:rsid w:val="008E5F14"/>
    <w:rsid w:val="00A05491"/>
    <w:rsid w:val="00C21C63"/>
    <w:rsid w:val="00C8535E"/>
    <w:rsid w:val="00CC07AE"/>
    <w:rsid w:val="00E847AD"/>
    <w:rsid w:val="00FE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69834"/>
  <w15:chartTrackingRefBased/>
  <w15:docId w15:val="{9A4B15B2-CE8A-48E2-88F2-2B8F62A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2A1"/>
    <w:rPr>
      <w:rFonts w:ascii="Georgia" w:hAnsi="Georgia"/>
      <w:sz w:val="24"/>
    </w:rPr>
  </w:style>
  <w:style w:type="paragraph" w:styleId="Heading1">
    <w:name w:val="heading 1"/>
    <w:basedOn w:val="Normal"/>
    <w:next w:val="Normal"/>
    <w:qFormat/>
    <w:rsid w:val="007C42A1"/>
    <w:pPr>
      <w:keepNext/>
      <w:autoSpaceDE w:val="0"/>
      <w:autoSpaceDN w:val="0"/>
      <w:adjustRightInd w:val="0"/>
      <w:outlineLvl w:val="0"/>
    </w:pPr>
    <w:rPr>
      <w:rFonts w:ascii="GothamMedium" w:hAnsi="GothamMedium" w:cs="Arial"/>
      <w:b/>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42A1"/>
    <w:rPr>
      <w:rFonts w:ascii="GothamBold" w:hAnsi="GothamBold"/>
      <w:b/>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basedOn w:val="DefaultParagraphFont"/>
    <w:rPr>
      <w:color w:val="0000FF"/>
      <w:u w:val="single"/>
    </w:rPr>
  </w:style>
  <w:style w:type="paragraph" w:styleId="BodyTextIndent">
    <w:name w:val="Body Text Indent"/>
    <w:basedOn w:val="Normal"/>
    <w:pPr>
      <w:autoSpaceDE w:val="0"/>
      <w:autoSpaceDN w:val="0"/>
      <w:adjustRightInd w:val="0"/>
      <w:ind w:left="180" w:hanging="180"/>
    </w:pPr>
    <w:rPr>
      <w:rFonts w:cs="Arial"/>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character" w:styleId="Emphasis">
    <w:name w:val="Emphasis"/>
    <w:basedOn w:val="DefaultParagraphFont"/>
    <w:qFormat/>
    <w:rsid w:val="007C4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Cleaning Specifications for Sure Klean 600 Detergent </vt:lpstr>
    </vt:vector>
  </TitlesOfParts>
  <Company>PROSOCO, Inc.</Company>
  <LinksUpToDate>false</LinksUpToDate>
  <CharactersWithSpaces>4408</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dc:description/>
  <cp:lastModifiedBy>Janet L. Horner</cp:lastModifiedBy>
  <cp:revision>2</cp:revision>
  <cp:lastPrinted>2007-04-19T20:18:00Z</cp:lastPrinted>
  <dcterms:created xsi:type="dcterms:W3CDTF">2022-12-14T16:50:00Z</dcterms:created>
  <dcterms:modified xsi:type="dcterms:W3CDTF">2022-12-14T16:50:00Z</dcterms:modified>
</cp:coreProperties>
</file>