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B8F25" w14:textId="34FF29FF" w:rsidR="00FD79D5" w:rsidRPr="00117D33" w:rsidRDefault="00FD79D5" w:rsidP="00FD79D5">
      <w:pPr>
        <w:pStyle w:val="Title"/>
      </w:pPr>
      <w:r w:rsidRPr="00117D33">
        <w:t>Conservare</w:t>
      </w:r>
      <w:r w:rsidRPr="00FD79D5">
        <w:rPr>
          <w:vertAlign w:val="superscript"/>
        </w:rPr>
        <w:t>®</w:t>
      </w:r>
      <w:r w:rsidRPr="00117D33">
        <w:t xml:space="preserve"> H100 Consolidation Treatment Masonry Restoration Specification </w:t>
      </w:r>
    </w:p>
    <w:p w14:paraId="343E3AB7" w14:textId="77777777" w:rsidR="000C68F5" w:rsidRPr="0057485A" w:rsidRDefault="000C68F5" w:rsidP="0057485A"/>
    <w:p w14:paraId="525F5984" w14:textId="37CAF5A8" w:rsidR="000C68F5" w:rsidRPr="0057485A" w:rsidRDefault="000C68F5" w:rsidP="0057485A">
      <w:pPr>
        <w:rPr>
          <w:rStyle w:val="SubtleEmphasis"/>
        </w:rPr>
      </w:pPr>
      <w:r w:rsidRPr="0057485A">
        <w:rPr>
          <w:rStyle w:val="SubtleEmphasis"/>
        </w:rPr>
        <w:t xml:space="preserve">Specifier Note:  The information provided below is intended to guide the Architect in developing specifications for products manufactured by PROSOCO, Inc. and should not be viewed as a complete source of information about the product(s).  The Architect should always refer to the Product Data Sheet and SDS for additional recommendations and for safety information </w:t>
      </w:r>
    </w:p>
    <w:p w14:paraId="2EFA1165" w14:textId="77777777" w:rsidR="000C68F5" w:rsidRPr="0057485A" w:rsidRDefault="000C68F5" w:rsidP="0057485A">
      <w:pPr>
        <w:rPr>
          <w:rStyle w:val="SubtleEmphasis"/>
        </w:rPr>
      </w:pPr>
    </w:p>
    <w:p w14:paraId="4A7A0D82" w14:textId="77777777" w:rsidR="000C68F5" w:rsidRPr="0057485A" w:rsidRDefault="000C68F5" w:rsidP="0057485A">
      <w:pPr>
        <w:rPr>
          <w:rStyle w:val="SubtleEmphasis"/>
        </w:rPr>
      </w:pPr>
      <w:r w:rsidRPr="0057485A">
        <w:rPr>
          <w:rStyle w:val="SubtleEmphasis"/>
        </w:rPr>
        <w:t xml:space="preserve">Specifier Note:  Paragraph below is for PART 1 GENERAL, Quality Assurance.  </w:t>
      </w:r>
    </w:p>
    <w:p w14:paraId="47650872" w14:textId="77777777" w:rsidR="000C68F5" w:rsidRPr="0057485A" w:rsidRDefault="000C68F5" w:rsidP="0057485A"/>
    <w:p w14:paraId="0A01DD8D" w14:textId="77777777" w:rsidR="000C68F5" w:rsidRPr="00F517CC" w:rsidRDefault="000C68F5" w:rsidP="00F517CC">
      <w:pPr>
        <w:pStyle w:val="Heading1"/>
      </w:pPr>
      <w:r w:rsidRPr="00F517CC">
        <w:t xml:space="preserve">Test Area </w:t>
      </w:r>
    </w:p>
    <w:p w14:paraId="049D1F6D" w14:textId="77777777" w:rsidR="000C68F5" w:rsidRPr="0057485A" w:rsidRDefault="000C68F5" w:rsidP="0057485A">
      <w:r w:rsidRPr="0057485A">
        <w:t xml:space="preserve">Test a minimum 4 ft. by 4 ft. area on each type of masonry. Use manufacturer’s application instructions. Let the test panel dry 3 to 7 days before inspection. Keep test panels available for comparison throughout the cleaning project. </w:t>
      </w:r>
    </w:p>
    <w:p w14:paraId="1ACB4ABA" w14:textId="77777777" w:rsidR="000C68F5" w:rsidRPr="0057485A" w:rsidRDefault="000C68F5" w:rsidP="0057485A"/>
    <w:p w14:paraId="03FE88E8" w14:textId="77777777" w:rsidR="000C68F5" w:rsidRPr="0057485A" w:rsidRDefault="000C68F5" w:rsidP="0057485A">
      <w:pPr>
        <w:rPr>
          <w:rStyle w:val="SubtleEmphasis"/>
        </w:rPr>
      </w:pPr>
      <w:r w:rsidRPr="0057485A">
        <w:rPr>
          <w:rStyle w:val="SubtleEmphasis"/>
        </w:rPr>
        <w:t xml:space="preserve">Specifier Note:  Paragraphs below are for PART 2 PRODUCTS, Manufacturers and Products.  </w:t>
      </w:r>
    </w:p>
    <w:p w14:paraId="56D6DCC2" w14:textId="77777777" w:rsidR="000C68F5" w:rsidRPr="0057485A" w:rsidRDefault="000C68F5" w:rsidP="0057485A"/>
    <w:p w14:paraId="0BDFEC53" w14:textId="77777777" w:rsidR="0057485A" w:rsidRPr="0057485A" w:rsidRDefault="000C68F5" w:rsidP="0057485A">
      <w:pPr>
        <w:pStyle w:val="Heading1"/>
      </w:pPr>
      <w:r w:rsidRPr="0057485A">
        <w:t>Manufacturer</w:t>
      </w:r>
    </w:p>
    <w:p w14:paraId="2879EA92" w14:textId="77777777" w:rsidR="000C68F5" w:rsidRPr="0057485A" w:rsidRDefault="000C68F5" w:rsidP="0057485A">
      <w:r w:rsidRPr="0057485A">
        <w:t>PROSOCO, Inc., 3741 Greenway Circle, Lawrence, KS 66046.  Phone: (800) 255-4255; Fax: (785) 830-9797.  E-mail:  CustomerCare@prosoco.com</w:t>
      </w:r>
    </w:p>
    <w:p w14:paraId="6828A247" w14:textId="77777777" w:rsidR="000C68F5" w:rsidRPr="0057485A" w:rsidRDefault="000C68F5" w:rsidP="0057485A"/>
    <w:p w14:paraId="79E66351" w14:textId="77777777" w:rsidR="000C68F5" w:rsidRPr="0057485A" w:rsidRDefault="000C68F5" w:rsidP="0057485A">
      <w:pPr>
        <w:pStyle w:val="Heading1"/>
      </w:pPr>
      <w:r w:rsidRPr="0057485A">
        <w:t>Product Description</w:t>
      </w:r>
    </w:p>
    <w:p w14:paraId="315E70DD" w14:textId="77777777" w:rsidR="006A6E14" w:rsidRDefault="006A6E14" w:rsidP="006A6E14">
      <w:r>
        <w:t>Conservare</w:t>
      </w:r>
      <w:r>
        <w:rPr>
          <w:vertAlign w:val="superscript"/>
        </w:rPr>
        <w:t>®</w:t>
      </w:r>
      <w:r>
        <w:t xml:space="preserve"> H100 is a combination consolidation/water repellent treatment. This ethyl silicate treatment, modified with a silane water repellent, replaces the natural binding materials while protecting the treated surface from water-related deterioration.</w:t>
      </w:r>
    </w:p>
    <w:p w14:paraId="0F1CA3EE" w14:textId="77777777" w:rsidR="006A6E14" w:rsidRDefault="006A6E14" w:rsidP="006A6E14"/>
    <w:p w14:paraId="58C9AC8A" w14:textId="7CFC40A6" w:rsidR="006A6E14" w:rsidRDefault="006A6E14" w:rsidP="006A6E14">
      <w:r>
        <w:t>Conservare</w:t>
      </w:r>
      <w:r>
        <w:rPr>
          <w:vertAlign w:val="superscript"/>
        </w:rPr>
        <w:t>®</w:t>
      </w:r>
      <w:r>
        <w:t xml:space="preserve"> H100 may be used on most types of sandstone, limestone, cast stone, stucco, brick and terra cotta.  It is effective on unpolished marble, travertine and limestone that has been treated with PROSOCO’s Conservare</w:t>
      </w:r>
      <w:r>
        <w:rPr>
          <w:vertAlign w:val="superscript"/>
        </w:rPr>
        <w:t>®</w:t>
      </w:r>
      <w:r>
        <w:t xml:space="preserve"> </w:t>
      </w:r>
      <w:proofErr w:type="spellStart"/>
      <w:r>
        <w:t>HCT</w:t>
      </w:r>
      <w:proofErr w:type="spellEnd"/>
      <w:r>
        <w:t xml:space="preserve"> (Hydroxylating Conversion Treatment).</w:t>
      </w:r>
    </w:p>
    <w:p w14:paraId="59287C29" w14:textId="77777777" w:rsidR="00D40DAB" w:rsidRPr="0057485A" w:rsidRDefault="00D40DAB" w:rsidP="0057485A"/>
    <w:p w14:paraId="01302124" w14:textId="77777777" w:rsidR="000C68F5" w:rsidRPr="0057485A" w:rsidRDefault="00D40DAB" w:rsidP="0057485A">
      <w:pPr>
        <w:pStyle w:val="Heading1"/>
      </w:pPr>
      <w:r w:rsidRPr="0057485A">
        <w:t xml:space="preserve">Typical </w:t>
      </w:r>
      <w:r w:rsidR="000C68F5" w:rsidRPr="0057485A">
        <w:t>Technical Data</w:t>
      </w:r>
    </w:p>
    <w:p w14:paraId="2E74194D" w14:textId="35922AE1" w:rsidR="000C68F5" w:rsidRPr="0057485A" w:rsidRDefault="000C68F5" w:rsidP="0057485A">
      <w:pPr>
        <w:ind w:left="720"/>
      </w:pPr>
      <w:r w:rsidRPr="0057485A">
        <w:t xml:space="preserve">FORM: </w:t>
      </w:r>
      <w:r w:rsidR="00D40DAB" w:rsidRPr="0057485A">
        <w:t xml:space="preserve">clear, </w:t>
      </w:r>
      <w:r w:rsidR="00FD79D5">
        <w:t xml:space="preserve">colorless </w:t>
      </w:r>
      <w:r w:rsidR="006A6E14">
        <w:t xml:space="preserve">to slight yellow </w:t>
      </w:r>
      <w:r w:rsidR="00D40DAB" w:rsidRPr="0057485A">
        <w:t>liquid</w:t>
      </w:r>
      <w:r w:rsidR="006A6E14">
        <w:t xml:space="preserve"> with alcohol odor</w:t>
      </w:r>
    </w:p>
    <w:p w14:paraId="36FB73CB" w14:textId="28EC9A20" w:rsidR="000C68F5" w:rsidRPr="0057485A" w:rsidRDefault="000C68F5" w:rsidP="0057485A">
      <w:pPr>
        <w:ind w:left="720"/>
      </w:pPr>
      <w:r w:rsidRPr="0057485A">
        <w:t xml:space="preserve">SPECIFIC GRAVITY: </w:t>
      </w:r>
      <w:r w:rsidR="006A6E14">
        <w:t>0.936</w:t>
      </w:r>
    </w:p>
    <w:p w14:paraId="67960966" w14:textId="0B85289E" w:rsidR="000C68F5" w:rsidRPr="0057485A" w:rsidRDefault="000C68F5" w:rsidP="0057485A">
      <w:pPr>
        <w:ind w:left="720"/>
      </w:pPr>
      <w:r w:rsidRPr="0057485A">
        <w:t xml:space="preserve">pH: </w:t>
      </w:r>
      <w:r w:rsidR="00FD79D5">
        <w:t>not applicable</w:t>
      </w:r>
    </w:p>
    <w:p w14:paraId="01F37DB4" w14:textId="62748DD3" w:rsidR="00D40DAB" w:rsidRPr="0057485A" w:rsidRDefault="00D40DAB" w:rsidP="0057485A">
      <w:pPr>
        <w:ind w:left="720"/>
      </w:pPr>
      <w:r w:rsidRPr="0057485A">
        <w:t xml:space="preserve">WEIGHT/GALLON: </w:t>
      </w:r>
      <w:r w:rsidR="006A6E14">
        <w:t>7.79</w:t>
      </w:r>
      <w:r w:rsidR="00FD79D5">
        <w:t xml:space="preserve"> pounds</w:t>
      </w:r>
    </w:p>
    <w:p w14:paraId="752A083A" w14:textId="19EEFE79" w:rsidR="00D40DAB" w:rsidRPr="0057485A" w:rsidRDefault="00D40DAB" w:rsidP="0057485A">
      <w:pPr>
        <w:ind w:left="720"/>
      </w:pPr>
      <w:r w:rsidRPr="0057485A">
        <w:t xml:space="preserve">ACTIVE CONTENT: </w:t>
      </w:r>
      <w:r w:rsidR="00FD79D5">
        <w:t>100 percent</w:t>
      </w:r>
    </w:p>
    <w:p w14:paraId="688A8EDC" w14:textId="2381A01E" w:rsidR="00D40DAB" w:rsidRPr="0057485A" w:rsidRDefault="00D40DAB" w:rsidP="0057485A">
      <w:pPr>
        <w:ind w:left="720"/>
      </w:pPr>
      <w:r w:rsidRPr="0057485A">
        <w:t xml:space="preserve">TOTAL SOLIDS: </w:t>
      </w:r>
      <w:r w:rsidR="00FD79D5">
        <w:t>4</w:t>
      </w:r>
      <w:r w:rsidR="006A6E14">
        <w:t>7</w:t>
      </w:r>
      <w:r w:rsidR="00FD79D5">
        <w:t xml:space="preserve"> percent ASTM D5095</w:t>
      </w:r>
    </w:p>
    <w:p w14:paraId="26976D28" w14:textId="33E04409" w:rsidR="000C68F5" w:rsidRPr="0057485A" w:rsidRDefault="000C68F5" w:rsidP="0057485A">
      <w:pPr>
        <w:ind w:left="720"/>
      </w:pPr>
      <w:r w:rsidRPr="0057485A">
        <w:t xml:space="preserve">FLASH POINT: </w:t>
      </w:r>
      <w:r w:rsidR="00FD79D5">
        <w:t>1</w:t>
      </w:r>
      <w:r w:rsidR="006A6E14">
        <w:t>10</w:t>
      </w:r>
      <w:r w:rsidRPr="0057485A">
        <w:t xml:space="preserve"> degrees F (</w:t>
      </w:r>
      <w:r w:rsidR="00FD79D5">
        <w:t>4</w:t>
      </w:r>
      <w:r w:rsidR="006A6E14">
        <w:t>3</w:t>
      </w:r>
      <w:r w:rsidRPr="0057485A">
        <w:t xml:space="preserve"> degrees C) </w:t>
      </w:r>
    </w:p>
    <w:p w14:paraId="1A436C34" w14:textId="5C07E008" w:rsidR="000C68F5" w:rsidRDefault="000C68F5" w:rsidP="0057485A">
      <w:pPr>
        <w:ind w:left="720"/>
      </w:pPr>
      <w:r w:rsidRPr="0057485A">
        <w:t xml:space="preserve">FREEZE POINT: </w:t>
      </w:r>
      <w:r w:rsidR="00FD79D5">
        <w:t>&lt;-2</w:t>
      </w:r>
      <w:r w:rsidRPr="0057485A">
        <w:t>2 degrees F (</w:t>
      </w:r>
      <w:r w:rsidR="00FD79D5">
        <w:t>&lt;-30</w:t>
      </w:r>
      <w:r w:rsidRPr="0057485A">
        <w:t xml:space="preserve"> degrees C)</w:t>
      </w:r>
    </w:p>
    <w:p w14:paraId="352A895E" w14:textId="40924483" w:rsidR="006A6E14" w:rsidRPr="0057485A" w:rsidRDefault="006A6E14" w:rsidP="0057485A">
      <w:pPr>
        <w:ind w:left="720"/>
      </w:pPr>
      <w:r>
        <w:t>SHELF LIFE: 1 year in tightly sealed, unopened container</w:t>
      </w:r>
    </w:p>
    <w:p w14:paraId="279AC41C" w14:textId="2A175440" w:rsidR="00D40DAB" w:rsidRPr="0057485A" w:rsidRDefault="00D40DAB" w:rsidP="0057485A">
      <w:pPr>
        <w:ind w:left="720"/>
      </w:pPr>
      <w:r w:rsidRPr="0057485A">
        <w:t xml:space="preserve">VOC CONTENT: </w:t>
      </w:r>
      <w:r w:rsidR="00FD79D5">
        <w:t>&gt;400 grams per Liter</w:t>
      </w:r>
      <w:r w:rsidR="006A6E14">
        <w:t>. Manufactured and marketed in compliance with USEPA AIM VOC regulations (40 CFR 59.403).</w:t>
      </w:r>
    </w:p>
    <w:p w14:paraId="77622901" w14:textId="77777777" w:rsidR="00074834" w:rsidRPr="0057485A" w:rsidRDefault="00074834" w:rsidP="0057485A"/>
    <w:p w14:paraId="0BCC0C78" w14:textId="77777777" w:rsidR="00074834" w:rsidRPr="0057485A" w:rsidRDefault="00074834" w:rsidP="0057485A">
      <w:pPr>
        <w:pStyle w:val="Heading1"/>
      </w:pPr>
      <w:r w:rsidRPr="0057485A">
        <w:t>Limitation</w:t>
      </w:r>
      <w:r w:rsidR="0057485A">
        <w:t>s</w:t>
      </w:r>
    </w:p>
    <w:p w14:paraId="09ED024F" w14:textId="7DC4CA75" w:rsidR="00FD79D5" w:rsidRPr="00FD79D5" w:rsidRDefault="00FD79D5" w:rsidP="00FD79D5">
      <w:pPr>
        <w:pStyle w:val="ListParagraph"/>
        <w:numPr>
          <w:ilvl w:val="0"/>
          <w:numId w:val="5"/>
        </w:numPr>
      </w:pPr>
      <w:r w:rsidRPr="00FD79D5">
        <w:t>Effective consolidation requires thorough field pretesting. Laboratory testing is strongly recommended. Contact PROSOCO for information on the recommended test programs.</w:t>
      </w:r>
    </w:p>
    <w:p w14:paraId="647E442C" w14:textId="395972DA" w:rsidR="00FD79D5" w:rsidRPr="00FD79D5" w:rsidRDefault="00FD79D5" w:rsidP="00FD79D5">
      <w:pPr>
        <w:pStyle w:val="ListParagraph"/>
        <w:numPr>
          <w:ilvl w:val="0"/>
          <w:numId w:val="5"/>
        </w:numPr>
      </w:pPr>
      <w:r w:rsidRPr="00FD79D5">
        <w:t xml:space="preserve">Limited shelf life. Remains storage stable for approximately 12 months in sealed containers. </w:t>
      </w:r>
    </w:p>
    <w:p w14:paraId="5B0A4405" w14:textId="3DF61DE4" w:rsidR="00FD79D5" w:rsidRPr="00FD79D5" w:rsidRDefault="00FD79D5" w:rsidP="00FD79D5">
      <w:pPr>
        <w:pStyle w:val="ListParagraph"/>
        <w:numPr>
          <w:ilvl w:val="0"/>
          <w:numId w:val="5"/>
        </w:numPr>
      </w:pPr>
      <w:r w:rsidRPr="00FD79D5">
        <w:t>Treated areas may bond to silicone and polyurethane molds frequently used for casting replacement stone. Use a release agent to prevent molding compounds from adhering to the treated surface.</w:t>
      </w:r>
    </w:p>
    <w:p w14:paraId="7D7E813E" w14:textId="6186292F" w:rsidR="00AD380C" w:rsidRDefault="00AD380C" w:rsidP="00FD79D5">
      <w:pPr>
        <w:pStyle w:val="ListParagraph"/>
        <w:numPr>
          <w:ilvl w:val="0"/>
          <w:numId w:val="5"/>
        </w:numPr>
      </w:pPr>
      <w:r>
        <w:t>Not suitable for some types of unpolished marble. Always test.</w:t>
      </w:r>
    </w:p>
    <w:p w14:paraId="3EFEB87B" w14:textId="6A93DC65" w:rsidR="00FD79D5" w:rsidRPr="00FD79D5" w:rsidRDefault="00FD79D5" w:rsidP="00FD79D5">
      <w:pPr>
        <w:pStyle w:val="ListParagraph"/>
        <w:numPr>
          <w:ilvl w:val="0"/>
          <w:numId w:val="5"/>
        </w:numPr>
      </w:pPr>
      <w:r w:rsidRPr="00FD79D5">
        <w:t xml:space="preserve">Not suitable for use on polished surfaces, including marble, travertine, limestone or granite. </w:t>
      </w:r>
    </w:p>
    <w:p w14:paraId="0050C63A" w14:textId="5C3FE0E5" w:rsidR="00AD380C" w:rsidRPr="00FD79D5" w:rsidRDefault="00AD380C" w:rsidP="00AD380C">
      <w:pPr>
        <w:pStyle w:val="ListParagraph"/>
        <w:numPr>
          <w:ilvl w:val="0"/>
          <w:numId w:val="5"/>
        </w:numPr>
      </w:pPr>
      <w:r w:rsidRPr="00FD79D5">
        <w:t xml:space="preserve">Not suitable for </w:t>
      </w:r>
      <w:r>
        <w:t xml:space="preserve">use on </w:t>
      </w:r>
      <w:r w:rsidRPr="00FD79D5">
        <w:t>architectural concrete block.</w:t>
      </w:r>
    </w:p>
    <w:p w14:paraId="4CF81270" w14:textId="18F2272A" w:rsidR="00FD79D5" w:rsidRPr="00FD79D5" w:rsidRDefault="00FD79D5" w:rsidP="00FD79D5">
      <w:pPr>
        <w:pStyle w:val="ListParagraph"/>
        <w:numPr>
          <w:ilvl w:val="0"/>
          <w:numId w:val="5"/>
        </w:numPr>
      </w:pPr>
      <w:r w:rsidRPr="00FD79D5">
        <w:t>Will not prevent water penetration through structural cracks, defects or open joints.</w:t>
      </w:r>
    </w:p>
    <w:p w14:paraId="63E81EAA" w14:textId="3B3E457C" w:rsidR="00FD79D5" w:rsidRPr="00FD79D5" w:rsidRDefault="00FD79D5" w:rsidP="00FD79D5">
      <w:pPr>
        <w:pStyle w:val="ListParagraph"/>
        <w:numPr>
          <w:ilvl w:val="0"/>
          <w:numId w:val="5"/>
        </w:numPr>
      </w:pPr>
      <w:r w:rsidRPr="00FD79D5">
        <w:t>Not recommended for below-grade application.</w:t>
      </w:r>
    </w:p>
    <w:p w14:paraId="5F128547" w14:textId="14DD5A81" w:rsidR="00074834" w:rsidRPr="00FD79D5" w:rsidRDefault="00FD79D5" w:rsidP="00FD79D5">
      <w:pPr>
        <w:pStyle w:val="ListParagraph"/>
        <w:numPr>
          <w:ilvl w:val="0"/>
          <w:numId w:val="5"/>
        </w:numPr>
      </w:pPr>
      <w:r w:rsidRPr="00FD79D5">
        <w:t>May not be suitable for sale in states and districts with more restrictive AIM VOC regulations. Available in regulation-exempt small container sizes. Call Customer Care at 800-255-4255 for assistance.</w:t>
      </w:r>
    </w:p>
    <w:p w14:paraId="648FE9C1" w14:textId="77777777" w:rsidR="000C68F5" w:rsidRPr="0057485A" w:rsidRDefault="000C68F5" w:rsidP="0057485A"/>
    <w:p w14:paraId="00077FB6" w14:textId="77777777" w:rsidR="000C68F5" w:rsidRPr="0057485A" w:rsidRDefault="000C68F5" w:rsidP="0057485A">
      <w:pPr>
        <w:rPr>
          <w:rStyle w:val="SubtleEmphasis"/>
        </w:rPr>
      </w:pPr>
      <w:r w:rsidRPr="0057485A">
        <w:rPr>
          <w:rStyle w:val="SubtleEmphasis"/>
        </w:rPr>
        <w:t>Specifier Note:  Paragraphs below are for PART 3 EXECUTION, Installation.</w:t>
      </w:r>
    </w:p>
    <w:p w14:paraId="3ABB207D" w14:textId="77777777" w:rsidR="000C68F5" w:rsidRPr="0057485A" w:rsidRDefault="000C68F5" w:rsidP="0057485A"/>
    <w:p w14:paraId="37DA3E2B" w14:textId="77777777" w:rsidR="000C68F5" w:rsidRPr="0057485A" w:rsidRDefault="000C68F5" w:rsidP="0057485A">
      <w:pPr>
        <w:pStyle w:val="Heading1"/>
      </w:pPr>
      <w:r w:rsidRPr="0057485A">
        <w:t>Application</w:t>
      </w:r>
    </w:p>
    <w:p w14:paraId="4A8FC82B" w14:textId="26274ABA" w:rsidR="000C68F5" w:rsidRPr="0057485A" w:rsidRDefault="000C68F5" w:rsidP="0057485A">
      <w:r w:rsidRPr="0057485A">
        <w:t>Before applying, read “</w:t>
      </w:r>
      <w:r w:rsidR="00923650" w:rsidRPr="0057485A">
        <w:t>Preparation</w:t>
      </w:r>
      <w:r w:rsidRPr="0057485A">
        <w:t>” and “</w:t>
      </w:r>
      <w:r w:rsidR="00934D1A" w:rsidRPr="0057485A">
        <w:t>Safety Information</w:t>
      </w:r>
      <w:r w:rsidRPr="0057485A">
        <w:t>” sections in the Manufacturer’s Product Data Sheet</w:t>
      </w:r>
      <w:r w:rsidR="00D40DAB" w:rsidRPr="0057485A">
        <w:t xml:space="preserve"> for </w:t>
      </w:r>
      <w:r w:rsidR="00FD79D5">
        <w:t>OH100 Consolidation Treatment</w:t>
      </w:r>
      <w:r w:rsidR="00D40DAB" w:rsidRPr="0057485A">
        <w:t xml:space="preserve">. </w:t>
      </w:r>
      <w:r w:rsidRPr="0057485A">
        <w:t>Use in concentrate</w:t>
      </w:r>
      <w:r w:rsidR="00FD79D5">
        <w:t xml:space="preserve">; do not dilute or alter. Stir or mix well before use. </w:t>
      </w:r>
    </w:p>
    <w:p w14:paraId="08FEFD94" w14:textId="77777777" w:rsidR="000C68F5" w:rsidRPr="00FD79D5" w:rsidRDefault="000C68F5" w:rsidP="00FD79D5"/>
    <w:p w14:paraId="54968F16" w14:textId="77777777" w:rsidR="00FD79D5" w:rsidRPr="00FD79D5" w:rsidRDefault="00FD79D5" w:rsidP="00FD79D5">
      <w:pPr>
        <w:ind w:left="720" w:hanging="720"/>
      </w:pPr>
      <w:r w:rsidRPr="00FD79D5">
        <w:t xml:space="preserve">SPECIFIER NOTE: Apply by low-pressure spray, brush or dipping. Larger surfaces should be treated using low-pressure spray equipment, small areas with spray tanks. Mobile objects such as sculptures are best treated indoors by dipping or with the use of compresses. </w:t>
      </w:r>
    </w:p>
    <w:p w14:paraId="2EFC20A0" w14:textId="77777777" w:rsidR="00FD79D5" w:rsidRPr="00FD79D5" w:rsidRDefault="00FD79D5" w:rsidP="00FD79D5"/>
    <w:p w14:paraId="197C679B" w14:textId="19A38AF5" w:rsidR="00FD79D5" w:rsidRPr="00FD79D5" w:rsidRDefault="00FD79D5" w:rsidP="00FD79D5">
      <w:pPr>
        <w:pStyle w:val="ListParagraph"/>
        <w:numPr>
          <w:ilvl w:val="0"/>
          <w:numId w:val="7"/>
        </w:numPr>
      </w:pPr>
      <w:r w:rsidRPr="00FD79D5">
        <w:t xml:space="preserve">Apply H100 </w:t>
      </w:r>
      <w:r>
        <w:t xml:space="preserve">Consolidation Treatment </w:t>
      </w:r>
      <w:r w:rsidRPr="00FD79D5">
        <w:t>in repeated applications referred to as “cycles.” A cycle consists of three successive saturating applications at 5-15 minute intervals. Typical treatments involve two or three cycles (6-9 separate applications).</w:t>
      </w:r>
    </w:p>
    <w:p w14:paraId="531B3C22" w14:textId="3DE0AB2B" w:rsidR="00FD79D5" w:rsidRDefault="00FD79D5" w:rsidP="00FD79D5">
      <w:pPr>
        <w:pStyle w:val="ListParagraph"/>
        <w:numPr>
          <w:ilvl w:val="0"/>
          <w:numId w:val="7"/>
        </w:numPr>
      </w:pPr>
      <w:r w:rsidRPr="00FD79D5">
        <w:t xml:space="preserve">Allow 20 to 60 minutes between cycles. </w:t>
      </w:r>
    </w:p>
    <w:p w14:paraId="6F1353D4" w14:textId="77777777" w:rsidR="00FD79D5" w:rsidRDefault="00FD79D5" w:rsidP="00FD79D5">
      <w:pPr>
        <w:pStyle w:val="ListParagraph"/>
      </w:pPr>
    </w:p>
    <w:p w14:paraId="549F51BD" w14:textId="5383E998" w:rsidR="00FD79D5" w:rsidRDefault="00FD79D5" w:rsidP="00FD79D5">
      <w:pPr>
        <w:pStyle w:val="ListParagraph"/>
        <w:ind w:left="1440" w:hanging="720"/>
      </w:pPr>
      <w:r>
        <w:t xml:space="preserve">SPECIFIER NOTE:  </w:t>
      </w:r>
      <w:r w:rsidRPr="00FD79D5">
        <w:t xml:space="preserve">Laboratory testing </w:t>
      </w:r>
      <w:r>
        <w:t xml:space="preserve">is strongly recommended to determine </w:t>
      </w:r>
      <w:r w:rsidRPr="00FD79D5">
        <w:t>the optimum delay between applications and between cycles.</w:t>
      </w:r>
    </w:p>
    <w:p w14:paraId="06A5568C" w14:textId="77777777" w:rsidR="00FD79D5" w:rsidRPr="00FD79D5" w:rsidRDefault="00FD79D5" w:rsidP="00FD79D5"/>
    <w:p w14:paraId="7F0FB4D8" w14:textId="3216A3B5" w:rsidR="00FD79D5" w:rsidRPr="00FD79D5" w:rsidRDefault="00FD79D5" w:rsidP="00FD79D5">
      <w:pPr>
        <w:pStyle w:val="ListParagraph"/>
        <w:numPr>
          <w:ilvl w:val="0"/>
          <w:numId w:val="7"/>
        </w:numPr>
      </w:pPr>
      <w:r w:rsidRPr="00FD79D5">
        <w:t>Apply H100 until excess material remains visible on the surface for 60 minutes following the last application.</w:t>
      </w:r>
    </w:p>
    <w:p w14:paraId="1899C5F8" w14:textId="0F45FA69" w:rsidR="00FD79D5" w:rsidRPr="00FD79D5" w:rsidRDefault="00FD79D5" w:rsidP="00FD79D5">
      <w:pPr>
        <w:pStyle w:val="ListParagraph"/>
        <w:numPr>
          <w:ilvl w:val="0"/>
          <w:numId w:val="7"/>
        </w:numPr>
      </w:pPr>
      <w:r w:rsidRPr="00FD79D5">
        <w:lastRenderedPageBreak/>
        <w:t>Immediately flush excess surface materials using industrial grade MEK (methyl ethyl ketone) or mineral spirits. If a second treatment is necessary, allow two to three weeks curing time following first treatment.</w:t>
      </w:r>
    </w:p>
    <w:p w14:paraId="6AA1BAE3" w14:textId="77777777" w:rsidR="00D40DAB" w:rsidRPr="0057485A" w:rsidRDefault="00D40DAB" w:rsidP="0057485A"/>
    <w:p w14:paraId="598B82BC" w14:textId="18DF6209" w:rsidR="00D40DAB" w:rsidRPr="0057485A" w:rsidRDefault="00D40DAB" w:rsidP="0057485A">
      <w:r w:rsidRPr="0057485A">
        <w:rPr>
          <w:b/>
        </w:rPr>
        <w:t>Cleanup</w:t>
      </w:r>
      <w:r w:rsidR="0057485A">
        <w:t xml:space="preserve">: </w:t>
      </w:r>
      <w:r w:rsidRPr="0057485A">
        <w:t xml:space="preserve">clean tools and equipment </w:t>
      </w:r>
      <w:r w:rsidR="00FD79D5">
        <w:t xml:space="preserve">immediately with mineral spirits, denatured alcohol or an equivalent cleaning solvent. Remove over spray and spills as soon as possible. </w:t>
      </w:r>
    </w:p>
    <w:sectPr w:rsidR="00D40DAB" w:rsidRPr="0057485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otham Medium">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rnegie-Bold">
    <w:altName w:val="Calibri"/>
    <w:panose1 w:val="00000000000000000000"/>
    <w:charset w:val="00"/>
    <w:family w:val="auto"/>
    <w:notTrueType/>
    <w:pitch w:val="default"/>
    <w:sig w:usb0="00000003" w:usb1="00000000" w:usb2="00000000" w:usb3="00000000" w:csb0="00000001" w:csb1="00000000"/>
  </w:font>
  <w:font w:name="GothamBold">
    <w:panose1 w:val="00000000000000000000"/>
    <w:charset w:val="00"/>
    <w:family w:val="modern"/>
    <w:notTrueType/>
    <w:pitch w:val="variable"/>
    <w:sig w:usb0="A00000AF" w:usb1="50000048" w:usb2="00000000" w:usb3="00000000" w:csb0="00000111" w:csb1="00000000"/>
  </w:font>
  <w:font w:name="Carnegie-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larendon LT Std Light">
    <w:altName w:val="Clarendon LT Std Light"/>
    <w:panose1 w:val="02040604040505020204"/>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759"/>
    <w:multiLevelType w:val="hybridMultilevel"/>
    <w:tmpl w:val="CC628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F8341F"/>
    <w:multiLevelType w:val="hybridMultilevel"/>
    <w:tmpl w:val="9B9C2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535575"/>
    <w:multiLevelType w:val="hybridMultilevel"/>
    <w:tmpl w:val="C2CEC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500A7"/>
    <w:multiLevelType w:val="hybridMultilevel"/>
    <w:tmpl w:val="5A5C0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5C68FF"/>
    <w:multiLevelType w:val="hybridMultilevel"/>
    <w:tmpl w:val="654A58FA"/>
    <w:lvl w:ilvl="0" w:tplc="1A70C322">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15:restartNumberingAfterBreak="0">
    <w:nsid w:val="599915EF"/>
    <w:multiLevelType w:val="hybridMultilevel"/>
    <w:tmpl w:val="706C6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29C53B2"/>
    <w:multiLevelType w:val="hybridMultilevel"/>
    <w:tmpl w:val="20D86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3853956">
    <w:abstractNumId w:val="1"/>
  </w:num>
  <w:num w:numId="2" w16cid:durableId="1402866372">
    <w:abstractNumId w:val="0"/>
  </w:num>
  <w:num w:numId="3" w16cid:durableId="642853426">
    <w:abstractNumId w:val="3"/>
  </w:num>
  <w:num w:numId="4" w16cid:durableId="178812860">
    <w:abstractNumId w:val="2"/>
  </w:num>
  <w:num w:numId="5" w16cid:durableId="832599553">
    <w:abstractNumId w:val="5"/>
  </w:num>
  <w:num w:numId="6" w16cid:durableId="696389263">
    <w:abstractNumId w:val="4"/>
  </w:num>
  <w:num w:numId="7" w16cid:durableId="833184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CC"/>
    <w:rsid w:val="00074834"/>
    <w:rsid w:val="000C68F5"/>
    <w:rsid w:val="002772E6"/>
    <w:rsid w:val="004B75F0"/>
    <w:rsid w:val="00563A14"/>
    <w:rsid w:val="0057485A"/>
    <w:rsid w:val="006A6E14"/>
    <w:rsid w:val="00716385"/>
    <w:rsid w:val="00923650"/>
    <w:rsid w:val="00934D1A"/>
    <w:rsid w:val="00987783"/>
    <w:rsid w:val="00AD380C"/>
    <w:rsid w:val="00B82742"/>
    <w:rsid w:val="00CB01E0"/>
    <w:rsid w:val="00D15A23"/>
    <w:rsid w:val="00D40DAB"/>
    <w:rsid w:val="00DD41C5"/>
    <w:rsid w:val="00F517CC"/>
    <w:rsid w:val="00FD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51138"/>
  <w15:chartTrackingRefBased/>
  <w15:docId w15:val="{EDCBF279-68C5-4FD8-9847-38CC3E5F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85A"/>
    <w:rPr>
      <w:rFonts w:ascii="Georgia" w:hAnsi="Georgia"/>
      <w:sz w:val="24"/>
    </w:rPr>
  </w:style>
  <w:style w:type="paragraph" w:styleId="Heading1">
    <w:name w:val="heading 1"/>
    <w:basedOn w:val="Normal"/>
    <w:next w:val="Normal"/>
    <w:qFormat/>
    <w:rsid w:val="00716385"/>
    <w:pPr>
      <w:keepNext/>
      <w:autoSpaceDE w:val="0"/>
      <w:autoSpaceDN w:val="0"/>
      <w:adjustRightInd w:val="0"/>
      <w:outlineLvl w:val="0"/>
    </w:pPr>
    <w:rPr>
      <w:rFonts w:ascii="Gotham Medium" w:hAnsi="Gotham Medium" w:cs="Arial"/>
      <w:b/>
      <w:bCs/>
      <w:caps/>
      <w:sz w:val="22"/>
    </w:rPr>
  </w:style>
  <w:style w:type="paragraph" w:styleId="Heading2">
    <w:name w:val="heading 2"/>
    <w:basedOn w:val="Normal"/>
    <w:next w:val="Normal"/>
    <w:qFormat/>
    <w:pPr>
      <w:keepNext/>
      <w:autoSpaceDE w:val="0"/>
      <w:autoSpaceDN w:val="0"/>
      <w:adjustRightInd w:val="0"/>
      <w:ind w:left="720"/>
      <w:outlineLvl w:val="1"/>
    </w:pPr>
    <w:rPr>
      <w:rFonts w:ascii="Carnegie-Bold" w:hAnsi="Carnegie-Bold"/>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517CC"/>
    <w:rPr>
      <w:rFonts w:ascii="GothamBold" w:hAnsi="GothamBold"/>
      <w:bCs/>
      <w:sz w:val="36"/>
      <w:szCs w:val="24"/>
    </w:rPr>
  </w:style>
  <w:style w:type="paragraph" w:styleId="Subtitle">
    <w:name w:val="Subtitle"/>
    <w:basedOn w:val="Normal"/>
    <w:qFormat/>
    <w:pPr>
      <w:autoSpaceDE w:val="0"/>
      <w:autoSpaceDN w:val="0"/>
      <w:adjustRightInd w:val="0"/>
    </w:pPr>
    <w:rPr>
      <w:rFonts w:ascii="Carnegie-Regular" w:hAnsi="Carnegie-Regular" w:cs="Arial"/>
      <w:b/>
      <w:bCs/>
      <w:sz w:val="20"/>
    </w:rPr>
  </w:style>
  <w:style w:type="paragraph" w:styleId="BodyText">
    <w:name w:val="Body Text"/>
    <w:basedOn w:val="Normal"/>
    <w:pPr>
      <w:autoSpaceDE w:val="0"/>
      <w:autoSpaceDN w:val="0"/>
      <w:adjustRightInd w:val="0"/>
    </w:pPr>
    <w:rPr>
      <w:rFonts w:ascii="Carnegie-Regular" w:hAnsi="Carnegie-Regular" w:cs="Arial"/>
      <w:sz w:val="20"/>
    </w:rPr>
  </w:style>
  <w:style w:type="character" w:styleId="Hyperlink">
    <w:name w:val="Hyperlink"/>
    <w:rPr>
      <w:color w:val="0000FF"/>
      <w:u w:val="single"/>
    </w:rPr>
  </w:style>
  <w:style w:type="paragraph" w:styleId="BalloonText">
    <w:name w:val="Balloon Text"/>
    <w:basedOn w:val="Normal"/>
    <w:semiHidden/>
    <w:rsid w:val="00934D1A"/>
    <w:rPr>
      <w:rFonts w:ascii="Tahoma" w:hAnsi="Tahoma" w:cs="Tahoma"/>
      <w:sz w:val="16"/>
      <w:szCs w:val="16"/>
    </w:rPr>
  </w:style>
  <w:style w:type="paragraph" w:customStyle="1" w:styleId="Default">
    <w:name w:val="Default"/>
    <w:rsid w:val="00D40DAB"/>
    <w:pPr>
      <w:autoSpaceDE w:val="0"/>
      <w:autoSpaceDN w:val="0"/>
      <w:adjustRightInd w:val="0"/>
    </w:pPr>
    <w:rPr>
      <w:rFonts w:ascii="Clarendon LT Std Light" w:hAnsi="Clarendon LT Std Light" w:cs="Clarendon LT Std Light"/>
      <w:color w:val="000000"/>
      <w:sz w:val="24"/>
      <w:szCs w:val="24"/>
    </w:rPr>
  </w:style>
  <w:style w:type="paragraph" w:customStyle="1" w:styleId="Pa0">
    <w:name w:val="Pa0"/>
    <w:basedOn w:val="Default"/>
    <w:next w:val="Default"/>
    <w:uiPriority w:val="99"/>
    <w:rsid w:val="00D40DAB"/>
    <w:pPr>
      <w:spacing w:line="221" w:lineRule="atLeast"/>
    </w:pPr>
    <w:rPr>
      <w:rFonts w:cs="Arial"/>
      <w:color w:val="auto"/>
    </w:rPr>
  </w:style>
  <w:style w:type="character" w:customStyle="1" w:styleId="A1">
    <w:name w:val="A1"/>
    <w:uiPriority w:val="99"/>
    <w:rsid w:val="00D40DAB"/>
    <w:rPr>
      <w:rFonts w:cs="Clarendon LT Std Light"/>
      <w:color w:val="211D1E"/>
      <w:sz w:val="12"/>
      <w:szCs w:val="12"/>
    </w:rPr>
  </w:style>
  <w:style w:type="character" w:styleId="SubtleEmphasis">
    <w:name w:val="Subtle Emphasis"/>
    <w:uiPriority w:val="19"/>
    <w:qFormat/>
    <w:rsid w:val="0057485A"/>
    <w:rPr>
      <w:rFonts w:ascii="Georgia" w:hAnsi="Georgia"/>
      <w:i/>
      <w:iCs/>
      <w:color w:val="404040"/>
      <w:sz w:val="24"/>
    </w:rPr>
  </w:style>
  <w:style w:type="paragraph" w:customStyle="1" w:styleId="Pa3">
    <w:name w:val="Pa3"/>
    <w:basedOn w:val="Default"/>
    <w:next w:val="Default"/>
    <w:uiPriority w:val="99"/>
    <w:rsid w:val="00FD79D5"/>
    <w:pPr>
      <w:spacing w:line="221" w:lineRule="atLeast"/>
    </w:pPr>
    <w:rPr>
      <w:rFonts w:cs="Times New Roman"/>
      <w:color w:val="auto"/>
    </w:rPr>
  </w:style>
  <w:style w:type="paragraph" w:styleId="ListParagraph">
    <w:name w:val="List Paragraph"/>
    <w:basedOn w:val="Normal"/>
    <w:uiPriority w:val="34"/>
    <w:qFormat/>
    <w:rsid w:val="00FD7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646</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Cleaning Specifications for Sure Klean 600 Detergent</vt:lpstr>
    </vt:vector>
  </TitlesOfParts>
  <Company>PROSOCO, Inc.</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Specifications for Sure Klean 600 Detergent</dc:title>
  <dc:subject/>
  <dc:creator>Janet L. Horner</dc:creator>
  <cp:keywords/>
  <cp:lastModifiedBy>Janet L. Horner</cp:lastModifiedBy>
  <cp:revision>2</cp:revision>
  <cp:lastPrinted>2010-06-15T20:50:00Z</cp:lastPrinted>
  <dcterms:created xsi:type="dcterms:W3CDTF">2022-11-03T12:11:00Z</dcterms:created>
  <dcterms:modified xsi:type="dcterms:W3CDTF">2022-11-03T12:11:00Z</dcterms:modified>
</cp:coreProperties>
</file>