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DCDA" w14:textId="77777777" w:rsidR="000C68F5" w:rsidRDefault="00E96701" w:rsidP="0057485A">
      <w:pPr>
        <w:pStyle w:val="Title"/>
      </w:pPr>
      <w:r>
        <w:t>PROSOCO</w:t>
      </w:r>
      <w:r w:rsidRPr="0023461E">
        <w:rPr>
          <w:vertAlign w:val="superscript"/>
        </w:rPr>
        <w:t>®</w:t>
      </w:r>
      <w:r w:rsidR="000C68F5">
        <w:t xml:space="preserve"> </w:t>
      </w:r>
      <w:r>
        <w:t>SingleStep</w:t>
      </w:r>
      <w:r w:rsidRPr="0023461E">
        <w:rPr>
          <w:vertAlign w:val="superscript"/>
        </w:rPr>
        <w:t>®</w:t>
      </w:r>
      <w:r>
        <w:t xml:space="preserve"> WB </w:t>
      </w:r>
      <w:r w:rsidR="0057485A">
        <w:t>C</w:t>
      </w:r>
      <w:r>
        <w:t xml:space="preserve">ure-and-Seal </w:t>
      </w:r>
      <w:r w:rsidR="000C68F5">
        <w:t xml:space="preserve">Specification </w:t>
      </w:r>
    </w:p>
    <w:p w14:paraId="188A47D4" w14:textId="77777777" w:rsidR="000C68F5" w:rsidRPr="0057485A" w:rsidRDefault="000C68F5" w:rsidP="0057485A"/>
    <w:p w14:paraId="0BF23F13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The information provided below is intended to guide the Architect in developing specifications for products manufactured by PROSOCO, Inc. and should not be viewed as a complete source of information about the product(s).  The Architect should always refer to the Product Data Sheet and MSDS for additional recommendations and for safety information </w:t>
      </w:r>
    </w:p>
    <w:p w14:paraId="676A7213" w14:textId="77777777" w:rsidR="000C68F5" w:rsidRPr="0057485A" w:rsidRDefault="000C68F5" w:rsidP="0057485A">
      <w:pPr>
        <w:rPr>
          <w:rStyle w:val="SubtleEmphasis"/>
        </w:rPr>
      </w:pPr>
    </w:p>
    <w:p w14:paraId="79A72940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Paragraph below is for PART 1 GENERAL, Quality Assurance.  </w:t>
      </w:r>
    </w:p>
    <w:p w14:paraId="1CE6811A" w14:textId="77777777" w:rsidR="000C68F5" w:rsidRPr="0057485A" w:rsidRDefault="000C68F5" w:rsidP="0057485A"/>
    <w:p w14:paraId="51F377DE" w14:textId="77777777" w:rsidR="000C68F5" w:rsidRPr="00A05ABB" w:rsidRDefault="000C68F5" w:rsidP="00A05ABB">
      <w:pPr>
        <w:pStyle w:val="Heading1"/>
      </w:pPr>
      <w:r w:rsidRPr="00A05ABB">
        <w:t xml:space="preserve">Test Area </w:t>
      </w:r>
    </w:p>
    <w:p w14:paraId="044A6D0C" w14:textId="77777777" w:rsidR="000C68F5" w:rsidRPr="0057485A" w:rsidRDefault="000C68F5" w:rsidP="0057485A">
      <w:r w:rsidRPr="0057485A">
        <w:t xml:space="preserve">Test a minimum 4 ft. by 4 ft. area on each type of masonry. Use manufacturer’s application instructions. Let the test panel dry 3 to 7 days before inspection. Keep test panels available for comparison throughout the cleaning project. </w:t>
      </w:r>
    </w:p>
    <w:p w14:paraId="36462054" w14:textId="77777777" w:rsidR="000C68F5" w:rsidRPr="0057485A" w:rsidRDefault="000C68F5" w:rsidP="0057485A"/>
    <w:p w14:paraId="3B530E7B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Paragraphs below are for PART 2 PRODUCTS, Manufacturers and Products.  </w:t>
      </w:r>
    </w:p>
    <w:p w14:paraId="7C5F67F6" w14:textId="77777777" w:rsidR="000C68F5" w:rsidRPr="0057485A" w:rsidRDefault="000C68F5" w:rsidP="0057485A"/>
    <w:p w14:paraId="73243C0E" w14:textId="77777777" w:rsidR="0057485A" w:rsidRPr="0057485A" w:rsidRDefault="000C68F5" w:rsidP="0057485A">
      <w:pPr>
        <w:pStyle w:val="Heading1"/>
      </w:pPr>
      <w:r w:rsidRPr="0057485A">
        <w:t>Manufacturer</w:t>
      </w:r>
    </w:p>
    <w:p w14:paraId="5020D04F" w14:textId="77777777" w:rsidR="000C68F5" w:rsidRPr="0057485A" w:rsidRDefault="000C68F5" w:rsidP="0057485A">
      <w:r w:rsidRPr="0057485A">
        <w:t xml:space="preserve">PROSOCO, Inc., 3741 Greenway Circle, Lawrence, KS 66046.  Phone: (800) 255-4255; Fax: (785) 830-9797.  E-mail:  </w:t>
      </w:r>
      <w:hyperlink r:id="rId6" w:history="1">
        <w:r w:rsidR="00037190" w:rsidRPr="00F36649">
          <w:rPr>
            <w:rStyle w:val="Hyperlink"/>
          </w:rPr>
          <w:t>CustomerCare@prosoco.com</w:t>
        </w:r>
      </w:hyperlink>
      <w:r w:rsidR="00037190">
        <w:t xml:space="preserve"> </w:t>
      </w:r>
    </w:p>
    <w:p w14:paraId="15E43DD8" w14:textId="77777777" w:rsidR="000C68F5" w:rsidRPr="0057485A" w:rsidRDefault="000C68F5" w:rsidP="0057485A"/>
    <w:p w14:paraId="70254475" w14:textId="77777777" w:rsidR="000C68F5" w:rsidRPr="0057485A" w:rsidRDefault="000C68F5" w:rsidP="0057485A">
      <w:pPr>
        <w:pStyle w:val="Heading1"/>
      </w:pPr>
      <w:r w:rsidRPr="0057485A">
        <w:t>Product Description</w:t>
      </w:r>
    </w:p>
    <w:p w14:paraId="60C03729" w14:textId="1E9E430D" w:rsidR="000C68F5" w:rsidRPr="00037190" w:rsidRDefault="00037190" w:rsidP="00037190">
      <w:r>
        <w:t>PROSOCO</w:t>
      </w:r>
      <w:r w:rsidR="00D40DAB" w:rsidRPr="0057485A">
        <w:rPr>
          <w:vertAlign w:val="superscript"/>
        </w:rPr>
        <w:t>®</w:t>
      </w:r>
      <w:r w:rsidR="00D40DAB" w:rsidRPr="0057485A">
        <w:t xml:space="preserve"> </w:t>
      </w:r>
      <w:r>
        <w:t>SingleStep</w:t>
      </w:r>
      <w:r w:rsidRPr="00037190">
        <w:rPr>
          <w:vertAlign w:val="superscript"/>
        </w:rPr>
        <w:t>®</w:t>
      </w:r>
      <w:r>
        <w:t xml:space="preserve"> WB </w:t>
      </w:r>
      <w:r w:rsidR="00D40DAB" w:rsidRPr="0057485A">
        <w:t xml:space="preserve">is </w:t>
      </w:r>
      <w:r w:rsidRPr="00037190">
        <w:t>a</w:t>
      </w:r>
      <w:r w:rsidR="00B91DD4">
        <w:t xml:space="preserve"> water-based</w:t>
      </w:r>
      <w:r w:rsidRPr="00037190">
        <w:t xml:space="preserve"> acrylic-silane blend for curing and weatherproofing new concrete in one easy step. SingleStep</w:t>
      </w:r>
      <w:r w:rsidRPr="00037190">
        <w:rPr>
          <w:vertAlign w:val="superscript"/>
        </w:rPr>
        <w:t>®</w:t>
      </w:r>
      <w:r w:rsidRPr="00037190">
        <w:t xml:space="preserve"> WB </w:t>
      </w:r>
      <w:r>
        <w:t xml:space="preserve">penetrates </w:t>
      </w:r>
      <w:r w:rsidRPr="00037190">
        <w:t xml:space="preserve">quickly to form a water-repellent gel in the pores and a semi-glossy film on the surface. This film helps keep concrete moist until it reaches maximum hardness. The cured concrete resists damaging water penetration, salts, and </w:t>
      </w:r>
      <w:proofErr w:type="spellStart"/>
      <w:r w:rsidRPr="00037190">
        <w:t>de-icer</w:t>
      </w:r>
      <w:proofErr w:type="spellEnd"/>
      <w:r w:rsidRPr="00037190">
        <w:t xml:space="preserve"> chemicals. SingleStep</w:t>
      </w:r>
      <w:r w:rsidRPr="00037190">
        <w:rPr>
          <w:vertAlign w:val="superscript"/>
        </w:rPr>
        <w:t>®</w:t>
      </w:r>
      <w:r w:rsidRPr="00037190">
        <w:t xml:space="preserve"> WB </w:t>
      </w:r>
      <w:r>
        <w:t xml:space="preserve">is quick curing and </w:t>
      </w:r>
      <w:r w:rsidRPr="00037190">
        <w:t>beads water after 24 hours. Water repellency of treated surfaces will increase for up to 72 hours. SingleStep</w:t>
      </w:r>
      <w:r w:rsidRPr="00037190">
        <w:rPr>
          <w:vertAlign w:val="superscript"/>
        </w:rPr>
        <w:t>®</w:t>
      </w:r>
      <w:r w:rsidRPr="00037190">
        <w:t xml:space="preserve"> WB is ideal for parking garages, athletic stadiums, engineered concrete structures and sidewalks.</w:t>
      </w:r>
      <w:r>
        <w:t xml:space="preserve"> </w:t>
      </w:r>
      <w:r w:rsidRPr="00037190">
        <w:t>PROSOCO</w:t>
      </w:r>
      <w:r w:rsidRPr="00037190">
        <w:rPr>
          <w:vertAlign w:val="superscript"/>
        </w:rPr>
        <w:t>®</w:t>
      </w:r>
      <w:r w:rsidRPr="00037190">
        <w:t xml:space="preserve"> SingleStep</w:t>
      </w:r>
      <w:r w:rsidRPr="00037190">
        <w:rPr>
          <w:vertAlign w:val="superscript"/>
        </w:rPr>
        <w:t>®</w:t>
      </w:r>
      <w:r w:rsidRPr="00037190">
        <w:t xml:space="preserve"> WB meets the requirements of ASTM C309, Type 1 Classes A &amp; B, AASHTO M-148, Type 1, Classes A &amp; B.</w:t>
      </w:r>
    </w:p>
    <w:p w14:paraId="49110712" w14:textId="77777777" w:rsidR="00D40DAB" w:rsidRPr="0057485A" w:rsidRDefault="00D40DAB" w:rsidP="0057485A"/>
    <w:p w14:paraId="2D491BF3" w14:textId="77777777" w:rsidR="000C68F5" w:rsidRPr="0057485A" w:rsidRDefault="00D40DAB" w:rsidP="0057485A">
      <w:pPr>
        <w:pStyle w:val="Heading1"/>
      </w:pPr>
      <w:r w:rsidRPr="0057485A">
        <w:t xml:space="preserve">Typical </w:t>
      </w:r>
      <w:r w:rsidR="000C68F5" w:rsidRPr="0057485A">
        <w:t>Technical Data</w:t>
      </w:r>
    </w:p>
    <w:p w14:paraId="68C20E05" w14:textId="77777777" w:rsidR="000C68F5" w:rsidRPr="0057485A" w:rsidRDefault="000C68F5" w:rsidP="0057485A">
      <w:pPr>
        <w:ind w:left="720"/>
      </w:pPr>
      <w:r w:rsidRPr="0057485A">
        <w:t xml:space="preserve">FORM: </w:t>
      </w:r>
      <w:r w:rsidR="00037190">
        <w:t>white, opaque liquid; mild odor</w:t>
      </w:r>
    </w:p>
    <w:p w14:paraId="77A0C05D" w14:textId="77777777" w:rsidR="000C68F5" w:rsidRPr="0057485A" w:rsidRDefault="000C68F5" w:rsidP="0057485A">
      <w:pPr>
        <w:ind w:left="720"/>
      </w:pPr>
      <w:r w:rsidRPr="0057485A">
        <w:t xml:space="preserve">SPECIFIC GRAVITY: </w:t>
      </w:r>
      <w:r w:rsidR="00037190">
        <w:t>1.01</w:t>
      </w:r>
    </w:p>
    <w:p w14:paraId="6D0094DC" w14:textId="77777777" w:rsidR="000C68F5" w:rsidRPr="0057485A" w:rsidRDefault="000C68F5" w:rsidP="0057485A">
      <w:pPr>
        <w:ind w:left="720"/>
      </w:pPr>
      <w:r w:rsidRPr="0057485A">
        <w:t xml:space="preserve">pH: </w:t>
      </w:r>
      <w:r w:rsidR="00037190">
        <w:t>not applicable</w:t>
      </w:r>
    </w:p>
    <w:p w14:paraId="4A5BBD79" w14:textId="77777777" w:rsidR="00D40DAB" w:rsidRPr="0057485A" w:rsidRDefault="00D40DAB" w:rsidP="0057485A">
      <w:pPr>
        <w:ind w:left="720"/>
      </w:pPr>
      <w:r w:rsidRPr="0057485A">
        <w:t>WEIGHT/GALLON: 8.</w:t>
      </w:r>
      <w:r w:rsidR="00037190">
        <w:t>43 pounds</w:t>
      </w:r>
    </w:p>
    <w:p w14:paraId="3C80A70B" w14:textId="77777777" w:rsidR="00D40DAB" w:rsidRPr="0057485A" w:rsidRDefault="00D40DAB" w:rsidP="0057485A">
      <w:pPr>
        <w:ind w:left="720"/>
      </w:pPr>
      <w:r w:rsidRPr="0057485A">
        <w:t xml:space="preserve">ACTIVE CONTENT: </w:t>
      </w:r>
      <w:r w:rsidR="00037190">
        <w:t>18 percent</w:t>
      </w:r>
    </w:p>
    <w:p w14:paraId="2E9533E7" w14:textId="77777777" w:rsidR="00D40DAB" w:rsidRPr="0057485A" w:rsidRDefault="00D40DAB" w:rsidP="0057485A">
      <w:pPr>
        <w:ind w:left="720"/>
      </w:pPr>
      <w:r w:rsidRPr="0057485A">
        <w:t xml:space="preserve">TOTAL SOLIDS: </w:t>
      </w:r>
      <w:r w:rsidR="00037190">
        <w:t>17 percent</w:t>
      </w:r>
    </w:p>
    <w:p w14:paraId="2CF4F5C4" w14:textId="77777777" w:rsidR="000C68F5" w:rsidRPr="0057485A" w:rsidRDefault="000C68F5" w:rsidP="0057485A">
      <w:pPr>
        <w:ind w:left="720"/>
      </w:pPr>
      <w:r w:rsidRPr="0057485A">
        <w:t xml:space="preserve">FLASH POINT: </w:t>
      </w:r>
      <w:r w:rsidR="00037190">
        <w:t>greater than</w:t>
      </w:r>
      <w:r w:rsidRPr="0057485A">
        <w:t xml:space="preserve"> 2</w:t>
      </w:r>
      <w:r w:rsidR="00D40DAB" w:rsidRPr="0057485A">
        <w:t>12</w:t>
      </w:r>
      <w:r w:rsidRPr="0057485A">
        <w:t xml:space="preserve"> degrees F (</w:t>
      </w:r>
      <w:r w:rsidR="00037190">
        <w:t>greater than</w:t>
      </w:r>
      <w:r w:rsidRPr="0057485A">
        <w:t xml:space="preserve"> </w:t>
      </w:r>
      <w:r w:rsidR="00D40DAB" w:rsidRPr="0057485A">
        <w:t>100</w:t>
      </w:r>
      <w:r w:rsidRPr="0057485A">
        <w:t xml:space="preserve"> degrees C) </w:t>
      </w:r>
    </w:p>
    <w:p w14:paraId="4C8539AB" w14:textId="77777777" w:rsidR="000C68F5" w:rsidRDefault="000C68F5" w:rsidP="0057485A">
      <w:pPr>
        <w:ind w:left="720"/>
      </w:pPr>
      <w:r w:rsidRPr="0057485A">
        <w:t>FREEZE POINT: 32 degrees F (0 degrees C)</w:t>
      </w:r>
    </w:p>
    <w:p w14:paraId="2E022A51" w14:textId="77777777" w:rsidR="00037190" w:rsidRPr="0057485A" w:rsidRDefault="00037190" w:rsidP="0057485A">
      <w:pPr>
        <w:ind w:left="720"/>
      </w:pPr>
      <w:r>
        <w:t>SHELF LIFE: 2 years in tightly sealed, unopened container</w:t>
      </w:r>
    </w:p>
    <w:p w14:paraId="241E2D0F" w14:textId="77777777" w:rsidR="00D40DAB" w:rsidRPr="0057485A" w:rsidRDefault="00D40DAB" w:rsidP="0057485A">
      <w:pPr>
        <w:ind w:left="720"/>
      </w:pPr>
      <w:r w:rsidRPr="0057485A">
        <w:t xml:space="preserve">VOC CONTENT: less than </w:t>
      </w:r>
      <w:r w:rsidR="00037190">
        <w:t>120 grams per Liter</w:t>
      </w:r>
    </w:p>
    <w:p w14:paraId="34B364CD" w14:textId="77777777" w:rsidR="00074834" w:rsidRPr="0057485A" w:rsidRDefault="00074834" w:rsidP="0057485A"/>
    <w:p w14:paraId="612EE9D5" w14:textId="77777777" w:rsidR="00074834" w:rsidRPr="0057485A" w:rsidRDefault="00074834" w:rsidP="0057485A">
      <w:pPr>
        <w:pStyle w:val="Heading1"/>
      </w:pPr>
      <w:r w:rsidRPr="0057485A">
        <w:lastRenderedPageBreak/>
        <w:t>Limitation</w:t>
      </w:r>
      <w:r w:rsidR="0057485A">
        <w:t>s</w:t>
      </w:r>
    </w:p>
    <w:p w14:paraId="5FCD76A8" w14:textId="77777777" w:rsidR="00037190" w:rsidRPr="00037190" w:rsidRDefault="00037190" w:rsidP="00037190">
      <w:pPr>
        <w:numPr>
          <w:ilvl w:val="0"/>
          <w:numId w:val="2"/>
        </w:numPr>
      </w:pPr>
      <w:r w:rsidRPr="00037190">
        <w:t>May show rubber burns.</w:t>
      </w:r>
    </w:p>
    <w:p w14:paraId="684DE28C" w14:textId="77777777" w:rsidR="00037190" w:rsidRPr="00037190" w:rsidRDefault="00037190" w:rsidP="00037190">
      <w:pPr>
        <w:numPr>
          <w:ilvl w:val="0"/>
          <w:numId w:val="2"/>
        </w:numPr>
      </w:pPr>
      <w:r w:rsidRPr="00037190">
        <w:t>Not gasoline resistant.</w:t>
      </w:r>
    </w:p>
    <w:p w14:paraId="0EF8F4B2" w14:textId="77777777" w:rsidR="00037190" w:rsidRPr="00037190" w:rsidRDefault="00037190" w:rsidP="00037190">
      <w:pPr>
        <w:numPr>
          <w:ilvl w:val="0"/>
          <w:numId w:val="2"/>
        </w:numPr>
      </w:pPr>
      <w:r w:rsidRPr="00037190">
        <w:t>Do not use on carbonated concrete.</w:t>
      </w:r>
    </w:p>
    <w:p w14:paraId="7FD01059" w14:textId="77777777" w:rsidR="00037190" w:rsidRPr="00037190" w:rsidRDefault="00037190" w:rsidP="00037190">
      <w:pPr>
        <w:numPr>
          <w:ilvl w:val="0"/>
          <w:numId w:val="2"/>
        </w:numPr>
      </w:pPr>
      <w:r w:rsidRPr="00037190">
        <w:t xml:space="preserve">Not designed for application to asphaltic or painted surfaces. Always test. </w:t>
      </w:r>
    </w:p>
    <w:p w14:paraId="6C1035AB" w14:textId="77777777" w:rsidR="00037190" w:rsidRPr="00037190" w:rsidRDefault="00037190" w:rsidP="00037190">
      <w:pPr>
        <w:numPr>
          <w:ilvl w:val="0"/>
          <w:numId w:val="2"/>
        </w:numPr>
      </w:pPr>
      <w:r w:rsidRPr="00037190">
        <w:t>Not for surfaces set for coatings or bonded overlays.</w:t>
      </w:r>
    </w:p>
    <w:p w14:paraId="44E7CD64" w14:textId="77777777" w:rsidR="00037190" w:rsidRPr="00037190" w:rsidRDefault="00037190" w:rsidP="00037190">
      <w:pPr>
        <w:numPr>
          <w:ilvl w:val="0"/>
          <w:numId w:val="2"/>
        </w:numPr>
      </w:pPr>
      <w:r w:rsidRPr="00037190">
        <w:t>Not for use around pools or fountains.</w:t>
      </w:r>
    </w:p>
    <w:p w14:paraId="0BBF614E" w14:textId="77777777" w:rsidR="00037190" w:rsidRPr="00037190" w:rsidRDefault="00037190" w:rsidP="00037190">
      <w:pPr>
        <w:numPr>
          <w:ilvl w:val="0"/>
          <w:numId w:val="2"/>
        </w:numPr>
      </w:pPr>
      <w:r w:rsidRPr="00037190">
        <w:t>Will not prevent water penetration through structural cracks, defects or open joints.</w:t>
      </w:r>
    </w:p>
    <w:p w14:paraId="480496FF" w14:textId="56737FEA" w:rsidR="00037190" w:rsidRDefault="00037190" w:rsidP="00037190">
      <w:pPr>
        <w:numPr>
          <w:ilvl w:val="0"/>
          <w:numId w:val="2"/>
        </w:numPr>
      </w:pPr>
      <w:r w:rsidRPr="00037190">
        <w:t>Not recommended for below-grade application.</w:t>
      </w:r>
    </w:p>
    <w:p w14:paraId="27FF174A" w14:textId="5B5034ED" w:rsidR="0023461E" w:rsidRDefault="0023461E" w:rsidP="00037190">
      <w:pPr>
        <w:numPr>
          <w:ilvl w:val="0"/>
          <w:numId w:val="2"/>
        </w:numPr>
      </w:pPr>
      <w:r>
        <w:t xml:space="preserve">For curing interior steel-troweled concrete, PROSOCO’s DensiKure is more appropriate. </w:t>
      </w:r>
    </w:p>
    <w:p w14:paraId="2F0B4C5A" w14:textId="115A281A" w:rsidR="0023461E" w:rsidRPr="00037190" w:rsidRDefault="0023461E" w:rsidP="00037190">
      <w:pPr>
        <w:numPr>
          <w:ilvl w:val="0"/>
          <w:numId w:val="2"/>
        </w:numPr>
      </w:pPr>
      <w:r>
        <w:t>Not available for use in California’s South Coast Air Quality Management District due to VOC restrictions.</w:t>
      </w:r>
    </w:p>
    <w:p w14:paraId="73218E2C" w14:textId="77777777" w:rsidR="00037190" w:rsidRPr="0057485A" w:rsidRDefault="00037190" w:rsidP="0057485A"/>
    <w:p w14:paraId="69583082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>Specifier Note:  Paragraphs below are for PART 3 EXECUTION, Installation.</w:t>
      </w:r>
    </w:p>
    <w:p w14:paraId="7749D53F" w14:textId="77777777" w:rsidR="000C68F5" w:rsidRPr="0057485A" w:rsidRDefault="000C68F5" w:rsidP="0057485A"/>
    <w:p w14:paraId="6686D2E9" w14:textId="77777777" w:rsidR="000C68F5" w:rsidRPr="0057485A" w:rsidRDefault="000C68F5" w:rsidP="0057485A">
      <w:pPr>
        <w:pStyle w:val="Heading1"/>
      </w:pPr>
      <w:r w:rsidRPr="0057485A">
        <w:t>Application</w:t>
      </w:r>
    </w:p>
    <w:p w14:paraId="5D562CC1" w14:textId="77777777" w:rsidR="000C68F5" w:rsidRPr="0057485A" w:rsidRDefault="000C68F5" w:rsidP="0057485A">
      <w:r w:rsidRPr="0057485A">
        <w:t>Before applying, read “</w:t>
      </w:r>
      <w:r w:rsidR="00923650" w:rsidRPr="0057485A">
        <w:t>Preparation</w:t>
      </w:r>
      <w:r w:rsidRPr="0057485A">
        <w:t>” and “</w:t>
      </w:r>
      <w:r w:rsidR="00934D1A" w:rsidRPr="0057485A">
        <w:t>Safety Information</w:t>
      </w:r>
      <w:r w:rsidRPr="0057485A">
        <w:t>” sections in the Manufacturer’s Product Data Sheet</w:t>
      </w:r>
      <w:r w:rsidR="00D40DAB" w:rsidRPr="0057485A">
        <w:t xml:space="preserve"> for </w:t>
      </w:r>
      <w:r w:rsidR="00037190">
        <w:t>PROSOCO</w:t>
      </w:r>
      <w:r w:rsidR="00037190" w:rsidRPr="00037190">
        <w:rPr>
          <w:vertAlign w:val="superscript"/>
        </w:rPr>
        <w:t>®</w:t>
      </w:r>
      <w:r w:rsidR="00037190">
        <w:t xml:space="preserve"> SingleStep</w:t>
      </w:r>
      <w:r w:rsidR="00037190" w:rsidRPr="00037190">
        <w:rPr>
          <w:vertAlign w:val="superscript"/>
        </w:rPr>
        <w:t>®</w:t>
      </w:r>
      <w:r w:rsidR="00037190">
        <w:t xml:space="preserve"> WB</w:t>
      </w:r>
      <w:r w:rsidR="00D40DAB" w:rsidRPr="0057485A">
        <w:t xml:space="preserve">. </w:t>
      </w:r>
      <w:r w:rsidR="00246C8E">
        <w:t xml:space="preserve">Apply as packaged. Do not dilute or alter. Stir or mix well before use. </w:t>
      </w:r>
    </w:p>
    <w:p w14:paraId="4DFFC878" w14:textId="77777777" w:rsidR="000C68F5" w:rsidRPr="0057485A" w:rsidRDefault="000C68F5" w:rsidP="0057485A"/>
    <w:p w14:paraId="68BA940F" w14:textId="77777777" w:rsidR="00246C8E" w:rsidRDefault="00246C8E" w:rsidP="00246C8E">
      <w:pPr>
        <w:ind w:left="360"/>
      </w:pPr>
      <w:r>
        <w:rPr>
          <w:b/>
          <w:bCs/>
          <w:i/>
          <w:iCs/>
        </w:rPr>
        <w:t xml:space="preserve">New Concrete: </w:t>
      </w:r>
      <w:r w:rsidRPr="00246C8E">
        <w:t>Apply SingleStep</w:t>
      </w:r>
      <w:r w:rsidRPr="00246C8E">
        <w:rPr>
          <w:vertAlign w:val="superscript"/>
        </w:rPr>
        <w:t>®</w:t>
      </w:r>
      <w:r w:rsidRPr="00246C8E">
        <w:t xml:space="preserve"> WB immediately after all surface water has disappeared and surface cannot be marred. Use low pressure spray, roller or brush</w:t>
      </w:r>
      <w:r>
        <w:t xml:space="preserve"> to a</w:t>
      </w:r>
      <w:r w:rsidRPr="00246C8E">
        <w:t xml:space="preserve">pply uniformly without </w:t>
      </w:r>
      <w:r>
        <w:t xml:space="preserve">creating </w:t>
      </w:r>
      <w:r w:rsidRPr="00246C8E">
        <w:t xml:space="preserve">puddles. </w:t>
      </w:r>
    </w:p>
    <w:p w14:paraId="58CEF5F0" w14:textId="77777777" w:rsidR="00246C8E" w:rsidRDefault="00246C8E" w:rsidP="00246C8E">
      <w:pPr>
        <w:ind w:left="360"/>
        <w:rPr>
          <w:b/>
          <w:bCs/>
          <w:i/>
          <w:iCs/>
        </w:rPr>
      </w:pPr>
    </w:p>
    <w:p w14:paraId="16BDE702" w14:textId="77777777" w:rsidR="00246C8E" w:rsidRPr="00246C8E" w:rsidRDefault="00246C8E" w:rsidP="00246C8E">
      <w:pPr>
        <w:ind w:left="1080" w:hanging="720"/>
      </w:pPr>
      <w:r>
        <w:t xml:space="preserve">SPECIFIER NOTE:  </w:t>
      </w:r>
      <w:r w:rsidRPr="00246C8E">
        <w:t>Application too early or too late can affect the overall curing performance.</w:t>
      </w:r>
    </w:p>
    <w:p w14:paraId="0E540402" w14:textId="77777777" w:rsidR="000C68F5" w:rsidRDefault="000C68F5">
      <w:pPr>
        <w:autoSpaceDE w:val="0"/>
        <w:autoSpaceDN w:val="0"/>
        <w:adjustRightInd w:val="0"/>
        <w:ind w:firstLine="720"/>
        <w:rPr>
          <w:rFonts w:cs="Arial"/>
          <w:sz w:val="20"/>
        </w:rPr>
      </w:pPr>
    </w:p>
    <w:p w14:paraId="482A70C1" w14:textId="77777777" w:rsidR="000C68F5" w:rsidRPr="0057485A" w:rsidRDefault="00D40DAB" w:rsidP="0057485A">
      <w:pPr>
        <w:ind w:left="1080" w:hanging="720"/>
      </w:pPr>
      <w:r w:rsidRPr="0057485A">
        <w:t xml:space="preserve">SPECIFIER NOTE: </w:t>
      </w:r>
      <w:r w:rsidR="00246C8E" w:rsidRPr="00246C8E">
        <w:t xml:space="preserve">Multiple thin coats are preferable over heavy coats. </w:t>
      </w:r>
    </w:p>
    <w:p w14:paraId="1F348684" w14:textId="77777777" w:rsidR="000C68F5" w:rsidRPr="0057485A" w:rsidRDefault="000C68F5" w:rsidP="0057485A">
      <w:pPr>
        <w:ind w:left="1080" w:hanging="720"/>
      </w:pPr>
    </w:p>
    <w:p w14:paraId="3D1926BB" w14:textId="77777777" w:rsidR="00246C8E" w:rsidRDefault="00D40DAB" w:rsidP="00246C8E">
      <w:pPr>
        <w:ind w:left="1080" w:hanging="720"/>
      </w:pPr>
      <w:r w:rsidRPr="0057485A">
        <w:t xml:space="preserve">SPECIFIER NOTE: </w:t>
      </w:r>
      <w:r w:rsidR="00246C8E" w:rsidRPr="00246C8E">
        <w:t>Application of a second coat</w:t>
      </w:r>
      <w:r w:rsidR="00246C8E">
        <w:t xml:space="preserve">, </w:t>
      </w:r>
      <w:r w:rsidR="00246C8E" w:rsidRPr="00246C8E">
        <w:t>after the first coat has dried, provide</w:t>
      </w:r>
      <w:r w:rsidR="00246C8E">
        <w:t>s</w:t>
      </w:r>
      <w:r w:rsidR="00246C8E" w:rsidRPr="00246C8E">
        <w:t xml:space="preserve"> a longer lasting, higher gloss film with improved water retention properties.</w:t>
      </w:r>
    </w:p>
    <w:p w14:paraId="08EFB74B" w14:textId="77777777" w:rsidR="00246C8E" w:rsidRDefault="00246C8E" w:rsidP="00246C8E">
      <w:pPr>
        <w:ind w:left="1080" w:hanging="720"/>
      </w:pPr>
    </w:p>
    <w:p w14:paraId="742C6E6D" w14:textId="4AC118D4" w:rsidR="00D40DAB" w:rsidRDefault="00246C8E" w:rsidP="00246C8E">
      <w:pPr>
        <w:ind w:left="1080" w:hanging="720"/>
      </w:pPr>
      <w:r>
        <w:t xml:space="preserve">SPECIFIER </w:t>
      </w:r>
      <w:r w:rsidRPr="00246C8E">
        <w:t>NOTE: When applying to sidewalks, apply to the vertical edges after the form work has been removed.</w:t>
      </w:r>
    </w:p>
    <w:p w14:paraId="67953432" w14:textId="77777777" w:rsidR="00246C8E" w:rsidRPr="002E27B8" w:rsidRDefault="00246C8E" w:rsidP="002E27B8"/>
    <w:p w14:paraId="620051E1" w14:textId="43E72764" w:rsidR="002E27B8" w:rsidRDefault="002E27B8" w:rsidP="002E27B8">
      <w:r>
        <w:rPr>
          <w:b/>
          <w:bCs/>
        </w:rPr>
        <w:t xml:space="preserve">Drying Time: </w:t>
      </w:r>
      <w:r w:rsidRPr="002E27B8">
        <w:t>PROSOCO</w:t>
      </w:r>
      <w:r w:rsidRPr="002E27B8">
        <w:rPr>
          <w:vertAlign w:val="superscript"/>
        </w:rPr>
        <w:t>®</w:t>
      </w:r>
      <w:r w:rsidRPr="002E27B8">
        <w:t xml:space="preserve"> SingleStep</w:t>
      </w:r>
      <w:r w:rsidRPr="002E27B8">
        <w:rPr>
          <w:vertAlign w:val="superscript"/>
        </w:rPr>
        <w:t>®</w:t>
      </w:r>
      <w:r w:rsidRPr="002E27B8">
        <w:t xml:space="preserve"> WB dries to the touch in 2</w:t>
      </w:r>
      <w:r>
        <w:t xml:space="preserve"> to </w:t>
      </w:r>
      <w:r w:rsidRPr="002E27B8">
        <w:t>3 hours. Protect freshly treated concrete from foot traffic for 8 hours, and from water and traffic for at least 12 hours. Dry time does depend on temperature, wind and humidity.</w:t>
      </w:r>
    </w:p>
    <w:p w14:paraId="15DEEF7D" w14:textId="77777777" w:rsidR="0023461E" w:rsidRPr="002E27B8" w:rsidRDefault="0023461E" w:rsidP="002E27B8"/>
    <w:p w14:paraId="41521E46" w14:textId="77777777" w:rsidR="002E27B8" w:rsidRPr="002E27B8" w:rsidRDefault="00D40DAB" w:rsidP="002E27B8">
      <w:r w:rsidRPr="0057485A">
        <w:rPr>
          <w:b/>
        </w:rPr>
        <w:t>Cleanup</w:t>
      </w:r>
      <w:r w:rsidR="0057485A">
        <w:t xml:space="preserve">: </w:t>
      </w:r>
      <w:r w:rsidR="002E27B8" w:rsidRPr="002E27B8">
        <w:t>Clean tools and equipment with clean water while product is still wet. Dried material may be removed with appropriate solvent.</w:t>
      </w:r>
    </w:p>
    <w:p w14:paraId="06602EBD" w14:textId="77777777" w:rsidR="00D40DAB" w:rsidRPr="0057485A" w:rsidRDefault="00D40DAB" w:rsidP="0057485A"/>
    <w:sectPr w:rsidR="00D40DAB" w:rsidRPr="005748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negi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LT Std Light">
    <w:panose1 w:val="020406040405050202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759"/>
    <w:multiLevelType w:val="hybridMultilevel"/>
    <w:tmpl w:val="C7E8C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8341F"/>
    <w:multiLevelType w:val="hybridMultilevel"/>
    <w:tmpl w:val="9B9C2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35575"/>
    <w:multiLevelType w:val="hybridMultilevel"/>
    <w:tmpl w:val="C2CE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00A7"/>
    <w:multiLevelType w:val="hybridMultilevel"/>
    <w:tmpl w:val="5A5C0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064305">
    <w:abstractNumId w:val="1"/>
  </w:num>
  <w:num w:numId="2" w16cid:durableId="311569479">
    <w:abstractNumId w:val="0"/>
  </w:num>
  <w:num w:numId="3" w16cid:durableId="1533961956">
    <w:abstractNumId w:val="3"/>
  </w:num>
  <w:num w:numId="4" w16cid:durableId="187065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01"/>
    <w:rsid w:val="00037190"/>
    <w:rsid w:val="00074834"/>
    <w:rsid w:val="000C68F5"/>
    <w:rsid w:val="001D755F"/>
    <w:rsid w:val="0023461E"/>
    <w:rsid w:val="00246C8E"/>
    <w:rsid w:val="002E27B8"/>
    <w:rsid w:val="004B75F0"/>
    <w:rsid w:val="00563A14"/>
    <w:rsid w:val="0057485A"/>
    <w:rsid w:val="00716385"/>
    <w:rsid w:val="00854416"/>
    <w:rsid w:val="00923650"/>
    <w:rsid w:val="00934D1A"/>
    <w:rsid w:val="00987783"/>
    <w:rsid w:val="00A05ABB"/>
    <w:rsid w:val="00B82742"/>
    <w:rsid w:val="00B91DD4"/>
    <w:rsid w:val="00CB01E0"/>
    <w:rsid w:val="00D15A23"/>
    <w:rsid w:val="00D40DAB"/>
    <w:rsid w:val="00DD41C5"/>
    <w:rsid w:val="00E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F5A42"/>
  <w15:chartTrackingRefBased/>
  <w15:docId w15:val="{E5150911-A04D-4B02-AE03-B596F1B5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5A"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rsid w:val="00716385"/>
    <w:pPr>
      <w:keepNext/>
      <w:autoSpaceDE w:val="0"/>
      <w:autoSpaceDN w:val="0"/>
      <w:adjustRightInd w:val="0"/>
      <w:outlineLvl w:val="0"/>
    </w:pPr>
    <w:rPr>
      <w:rFonts w:ascii="Gotham Medium" w:hAnsi="Gotham Medium" w:cs="Arial"/>
      <w:b/>
      <w:bCs/>
      <w:caps/>
      <w:sz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720"/>
      <w:outlineLvl w:val="1"/>
    </w:pPr>
    <w:rPr>
      <w:rFonts w:ascii="Carnegie-Bold" w:hAnsi="Carnegie-Bol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461E"/>
    <w:rPr>
      <w:rFonts w:ascii="GothamBold" w:hAnsi="GothamBold"/>
      <w:bCs/>
      <w:sz w:val="28"/>
      <w:szCs w:val="24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</w:pPr>
    <w:rPr>
      <w:rFonts w:ascii="Carnegie-Regular" w:hAnsi="Carnegie-Regular" w:cs="Arial"/>
      <w:b/>
      <w:bCs/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arnegie-Regular" w:hAnsi="Carnegie-Regular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34D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DAB"/>
    <w:pPr>
      <w:autoSpaceDE w:val="0"/>
      <w:autoSpaceDN w:val="0"/>
      <w:adjustRightInd w:val="0"/>
    </w:pPr>
    <w:rPr>
      <w:rFonts w:ascii="Clarendon LT Std Light" w:hAnsi="Clarendon LT Std Light" w:cs="Clarendon LT St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40DAB"/>
    <w:pPr>
      <w:spacing w:line="221" w:lineRule="atLeast"/>
    </w:pPr>
    <w:rPr>
      <w:rFonts w:cs="Arial"/>
      <w:color w:val="auto"/>
    </w:rPr>
  </w:style>
  <w:style w:type="character" w:customStyle="1" w:styleId="A1">
    <w:name w:val="A1"/>
    <w:uiPriority w:val="99"/>
    <w:rsid w:val="00D40DAB"/>
    <w:rPr>
      <w:rFonts w:cs="Clarendon LT Std Light"/>
      <w:color w:val="211D1E"/>
      <w:sz w:val="12"/>
      <w:szCs w:val="12"/>
    </w:rPr>
  </w:style>
  <w:style w:type="character" w:styleId="SubtleEmphasis">
    <w:name w:val="Subtle Emphasis"/>
    <w:uiPriority w:val="19"/>
    <w:qFormat/>
    <w:rsid w:val="0057485A"/>
    <w:rPr>
      <w:rFonts w:ascii="Georgia" w:hAnsi="Georgia"/>
      <w:i/>
      <w:iCs/>
      <w:color w:val="404040"/>
      <w:sz w:val="24"/>
    </w:rPr>
  </w:style>
  <w:style w:type="character" w:styleId="UnresolvedMention">
    <w:name w:val="Unresolved Mention"/>
    <w:uiPriority w:val="99"/>
    <w:semiHidden/>
    <w:unhideWhenUsed/>
    <w:rsid w:val="00037190"/>
    <w:rPr>
      <w:color w:val="605E5C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037190"/>
    <w:pPr>
      <w:spacing w:line="22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246C8E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2E27B8"/>
    <w:pPr>
      <w:spacing w:line="2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stomerCare@prosoc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B05B-8212-4006-AFF5-D47F208D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Specifications for Sure Klean 600 Detergent</vt:lpstr>
    </vt:vector>
  </TitlesOfParts>
  <Company>PROSOCO, Inc.</Company>
  <LinksUpToDate>false</LinksUpToDate>
  <CharactersWithSpaces>4123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mailto:CustomerCare@prosoco.com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Specifications for Sure Klean 600 Detergent</dc:title>
  <dc:subject/>
  <dc:creator>Janet L Horner</dc:creator>
  <cp:keywords/>
  <cp:lastModifiedBy>Janet L. Horner</cp:lastModifiedBy>
  <cp:revision>2</cp:revision>
  <cp:lastPrinted>2010-06-15T20:50:00Z</cp:lastPrinted>
  <dcterms:created xsi:type="dcterms:W3CDTF">2023-02-28T20:23:00Z</dcterms:created>
  <dcterms:modified xsi:type="dcterms:W3CDTF">2023-02-28T20:23:00Z</dcterms:modified>
</cp:coreProperties>
</file>