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89FC2" w14:textId="77777777" w:rsidR="006B3B70" w:rsidRPr="005A1339" w:rsidRDefault="006B3B70" w:rsidP="0024641F">
      <w:pPr>
        <w:autoSpaceDE w:val="0"/>
        <w:autoSpaceDN w:val="0"/>
        <w:adjustRightInd w:val="0"/>
        <w:ind w:right="800"/>
        <w:rPr>
          <w:rFonts w:ascii="Arial" w:hAnsi="Arial"/>
          <w:b/>
          <w:sz w:val="32"/>
          <w:szCs w:val="32"/>
        </w:rPr>
      </w:pPr>
      <w:r w:rsidRPr="005A1339">
        <w:rPr>
          <w:rFonts w:ascii="Arial" w:hAnsi="Arial"/>
          <w:b/>
          <w:sz w:val="32"/>
          <w:szCs w:val="32"/>
        </w:rPr>
        <w:t xml:space="preserve">Direct Finish System for </w:t>
      </w:r>
      <w:r w:rsidR="0024641F">
        <w:rPr>
          <w:rFonts w:ascii="Arial" w:hAnsi="Arial"/>
          <w:b/>
          <w:sz w:val="32"/>
          <w:szCs w:val="32"/>
        </w:rPr>
        <w:t>Soffits</w:t>
      </w:r>
      <w:r w:rsidRPr="005A1339">
        <w:rPr>
          <w:rFonts w:ascii="Arial" w:hAnsi="Arial"/>
          <w:b/>
          <w:sz w:val="32"/>
          <w:szCs w:val="32"/>
        </w:rPr>
        <w:t xml:space="preserve"> and Ceilings Only</w:t>
      </w:r>
    </w:p>
    <w:p w14:paraId="66D59CF5" w14:textId="77777777" w:rsidR="004C3655"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r w:rsidRPr="005A1339">
        <w:rPr>
          <w:rFonts w:ascii="Arial" w:eastAsia="Arial" w:hAnsi="Arial" w:cs="Arial"/>
          <w:i/>
          <w:iCs/>
          <w:color w:val="000000"/>
          <w:sz w:val="20"/>
          <w:szCs w:val="20"/>
        </w:rPr>
        <w:t>Senerflex</w:t>
      </w:r>
      <w:r>
        <w:rPr>
          <w:rFonts w:ascii="Arial" w:eastAsia="Arial" w:hAnsi="Arial" w:cs="Arial"/>
          <w:i/>
          <w:iCs/>
          <w:color w:val="000000"/>
          <w:sz w:val="20"/>
          <w:szCs w:val="20"/>
        </w:rPr>
        <w:t xml:space="preserve"> </w:t>
      </w:r>
      <w:r w:rsidR="005747FD">
        <w:rPr>
          <w:rFonts w:ascii="Arial" w:eastAsia="Arial" w:hAnsi="Arial" w:cs="Arial"/>
          <w:i/>
          <w:iCs/>
          <w:color w:val="000000"/>
          <w:sz w:val="20"/>
          <w:szCs w:val="20"/>
        </w:rPr>
        <w:t>l</w:t>
      </w:r>
      <w:r w:rsidRPr="005A1339">
        <w:rPr>
          <w:rFonts w:ascii="Arial" w:eastAsia="Arial" w:hAnsi="Arial" w:cs="Arial"/>
          <w:i/>
          <w:iCs/>
          <w:color w:val="000000"/>
          <w:sz w:val="20"/>
          <w:szCs w:val="20"/>
        </w:rPr>
        <w:t xml:space="preserve">amina applications to </w:t>
      </w:r>
      <w:r w:rsidR="005747FD">
        <w:rPr>
          <w:rFonts w:ascii="Arial" w:eastAsia="Arial" w:hAnsi="Arial" w:cs="Arial"/>
          <w:i/>
          <w:iCs/>
          <w:color w:val="000000"/>
          <w:sz w:val="20"/>
          <w:szCs w:val="20"/>
        </w:rPr>
        <w:t>soffit</w:t>
      </w:r>
      <w:r w:rsidRPr="005A1339">
        <w:rPr>
          <w:rFonts w:ascii="Arial" w:eastAsia="Arial" w:hAnsi="Arial" w:cs="Arial"/>
          <w:i/>
          <w:iCs/>
          <w:color w:val="000000"/>
          <w:sz w:val="20"/>
          <w:szCs w:val="20"/>
        </w:rPr>
        <w:t>s and ceilings</w:t>
      </w:r>
    </w:p>
    <w:p w14:paraId="2BF347C9" w14:textId="77777777" w:rsidR="005A1339"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p>
    <w:p w14:paraId="2F15A943" w14:textId="77777777" w:rsidR="005A1339" w:rsidRPr="005D31AF"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6D0B2E81"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specification has been assembled to enable the design professional to select or delete sections to suit the project requirements and is intended to be used in conjunction with Senergy</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6103E96C"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6E1EB710" w14:textId="77777777" w:rsidR="00C93D84" w:rsidRPr="005D31AF" w:rsidRDefault="00C93D84" w:rsidP="00C93D8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2B61D10F" w14:textId="0190844D" w:rsidR="00320A7E" w:rsidRPr="00320A7E" w:rsidRDefault="00320A7E" w:rsidP="00320A7E">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320A7E">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Master Builders Solutions </w:t>
      </w:r>
      <w:r w:rsidR="008A1D8C">
        <w:rPr>
          <w:rFonts w:ascii="Arial" w:hAnsi="Arial" w:cs="Arial"/>
          <w:sz w:val="20"/>
          <w:szCs w:val="20"/>
        </w:rPr>
        <w:t xml:space="preserve">Construction Systems </w:t>
      </w:r>
      <w:r w:rsidRPr="00320A7E">
        <w:rPr>
          <w:rFonts w:ascii="Arial" w:hAnsi="Arial" w:cs="Arial"/>
          <w:sz w:val="20"/>
          <w:szCs w:val="20"/>
        </w:rPr>
        <w:t>US, LLC (herein referred to as “Master Builders Solutions”) has prepared guidelines in the form of specifications, typical application details, and product bulletins to facilitate the design process only. Master Builders Solutions is not liable for any errors or omissions in design, detail, structural capability, attachment details, shop drawings or the like, whether based upon the information provided by Master Builders Solutions or otherwise, or for any changes which the purchasers, specifiers, designers or their appointed representatives may make Master Builders Solutions published comments.</w:t>
      </w:r>
    </w:p>
    <w:p w14:paraId="629DE3D2" w14:textId="77777777" w:rsidR="00C93D84" w:rsidRPr="005D31AF" w:rsidRDefault="00C93D84" w:rsidP="00C93D8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E39D20B" w14:textId="77777777" w:rsidR="00C93D84" w:rsidRPr="005D31AF" w:rsidRDefault="00C93D84" w:rsidP="002464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Pr>
          <w:rFonts w:ascii="Arial" w:hAnsi="Arial" w:cs="Arial"/>
          <w:b/>
          <w:sz w:val="20"/>
          <w:szCs w:val="20"/>
        </w:rPr>
        <w:t xml:space="preserve">DIRECT FINISHING SYSTEM FOR </w:t>
      </w:r>
      <w:r w:rsidR="0024641F">
        <w:rPr>
          <w:rFonts w:ascii="Arial" w:hAnsi="Arial" w:cs="Arial"/>
          <w:b/>
          <w:sz w:val="20"/>
          <w:szCs w:val="20"/>
        </w:rPr>
        <w:t>SOFFITS</w:t>
      </w:r>
      <w:r>
        <w:rPr>
          <w:rFonts w:ascii="Arial" w:hAnsi="Arial" w:cs="Arial"/>
          <w:b/>
          <w:sz w:val="20"/>
          <w:szCs w:val="20"/>
        </w:rPr>
        <w:t xml:space="preserve"> AND CEILINGS ONLY</w:t>
      </w:r>
    </w:p>
    <w:p w14:paraId="6B3BD945" w14:textId="77777777" w:rsidR="00C93D84" w:rsidRDefault="00C93D84" w:rsidP="00C93D84">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720B0DC5" w14:textId="77777777" w:rsidR="00C93D84" w:rsidRDefault="00C93D84"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2D1C3960" w14:textId="77777777" w:rsidR="00C93D84" w:rsidRPr="005D31AF" w:rsidRDefault="00C93D84" w:rsidP="00BA730E">
      <w:pPr>
        <w:numPr>
          <w:ilvl w:val="0"/>
          <w:numId w:val="4"/>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ED1E6A0" w14:textId="77777777" w:rsidR="004C3655" w:rsidRPr="00C93D84"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C93D84">
        <w:rPr>
          <w:rFonts w:ascii="Arial" w:hAnsi="Arial" w:cs="Arial"/>
          <w:sz w:val="20"/>
          <w:szCs w:val="20"/>
        </w:rPr>
        <w:t>Acceptable substrates are:</w:t>
      </w:r>
      <w:r w:rsidR="004C3655" w:rsidRPr="00C93D84">
        <w:rPr>
          <w:rFonts w:ascii="HelveticaNeue LightCond" w:hAnsi="HelveticaNeue LightCond" w:cs="HelveticaNeue-LightCond"/>
          <w:sz w:val="20"/>
          <w:szCs w:val="20"/>
          <w:lang w:eastAsia="ko-KR"/>
        </w:rPr>
        <w:t xml:space="preserve"> PermaBase</w:t>
      </w:r>
      <w:r w:rsidR="006B3B70" w:rsidRPr="008A1D8C">
        <w:rPr>
          <w:rFonts w:ascii="HelveticaNeue LightCond" w:hAnsi="HelveticaNeue LightCond" w:cs="Arial"/>
          <w:sz w:val="20"/>
          <w:szCs w:val="20"/>
          <w:vertAlign w:val="superscript"/>
          <w:lang w:eastAsia="ko-KR"/>
        </w:rPr>
        <w:t>®</w:t>
      </w:r>
      <w:r w:rsidR="004C3655" w:rsidRPr="00C93D84">
        <w:rPr>
          <w:rFonts w:ascii="HelveticaNeue LightCond" w:hAnsi="HelveticaNeue LightCond" w:cs="HelveticaNeue-LightCond"/>
          <w:sz w:val="20"/>
          <w:szCs w:val="20"/>
          <w:lang w:eastAsia="ko-KR"/>
        </w:rPr>
        <w:t xml:space="preserve"> brand</w:t>
      </w:r>
      <w:r w:rsidR="00D736B4" w:rsidRPr="00C93D84">
        <w:rPr>
          <w:rFonts w:ascii="HelveticaNeue LightCond" w:hAnsi="HelveticaNeue LightCond" w:cs="HelveticaNeue-LightCond"/>
          <w:sz w:val="20"/>
          <w:szCs w:val="20"/>
          <w:lang w:eastAsia="ko-KR"/>
        </w:rPr>
        <w:t xml:space="preserve"> </w:t>
      </w:r>
      <w:r w:rsidR="004C3655" w:rsidRPr="00C93D84">
        <w:rPr>
          <w:rFonts w:ascii="HelveticaNeue LightCond" w:hAnsi="HelveticaNeue LightCond" w:cs="HelveticaNeue-LightCond"/>
          <w:sz w:val="20"/>
          <w:szCs w:val="20"/>
          <w:lang w:eastAsia="ko-KR"/>
        </w:rPr>
        <w:t>cement board (or other ASTM C1325 Type A Exterior approved cement boards)</w:t>
      </w:r>
      <w:r w:rsidR="006B3B70" w:rsidRPr="00C93D84">
        <w:rPr>
          <w:rFonts w:ascii="HelveticaNeue LightCond" w:hAnsi="HelveticaNeue LightCond" w:cs="HelveticaNeue-LightCond"/>
          <w:sz w:val="20"/>
          <w:szCs w:val="20"/>
          <w:lang w:eastAsia="ko-KR"/>
        </w:rPr>
        <w:t>;</w:t>
      </w:r>
      <w:r w:rsidR="004C3655"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ASTM C1177 type sheathings including DensGlass</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exterior sheathing, eXP</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sheathing, GlasRoc® sheathing, Securock</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glass-mat sheathing, Weather Defense</w:t>
      </w:r>
      <w:r w:rsidR="006B3B70" w:rsidRPr="00C93D84">
        <w:rPr>
          <w:rFonts w:ascii="HelveticaNeue LightCond" w:hAnsi="HelveticaNeue LightCond" w:cs="Arial"/>
          <w:sz w:val="20"/>
          <w:szCs w:val="20"/>
          <w:lang w:eastAsia="ko-KR"/>
        </w:rPr>
        <w:t xml:space="preserve">™ </w:t>
      </w:r>
      <w:r w:rsidR="006B3B70" w:rsidRPr="00C93D84">
        <w:rPr>
          <w:rFonts w:ascii="HelveticaNeue LightCond" w:hAnsi="HelveticaNeue LightCond" w:cs="HelveticaNeue-LightCond"/>
          <w:sz w:val="20"/>
          <w:szCs w:val="20"/>
          <w:lang w:eastAsia="ko-KR"/>
        </w:rPr>
        <w:t>Platinum sheathing and GreenGlass</w:t>
      </w:r>
      <w:r w:rsidR="006B3B70" w:rsidRPr="008A1D8C">
        <w:rPr>
          <w:rFonts w:ascii="HelveticaNeue LightCond" w:hAnsi="HelveticaNeue LightCond" w:cs="HelveticaNeue-LightCond"/>
          <w:sz w:val="20"/>
          <w:szCs w:val="20"/>
          <w:vertAlign w:val="superscript"/>
          <w:lang w:eastAsia="ko-KR"/>
        </w:rPr>
        <w:t>®</w:t>
      </w:r>
      <w:r w:rsidR="006B3B70" w:rsidRPr="00C93D84">
        <w:rPr>
          <w:rFonts w:ascii="HelveticaNeue LightCond" w:hAnsi="HelveticaNeue LightCond" w:cs="HelveticaNeue-LightCond"/>
          <w:sz w:val="20"/>
          <w:szCs w:val="20"/>
          <w:lang w:eastAsia="ko-KR"/>
        </w:rPr>
        <w:t xml:space="preserve"> sheathing; </w:t>
      </w:r>
      <w:r w:rsidR="004C3655" w:rsidRPr="00C93D84">
        <w:rPr>
          <w:rFonts w:ascii="HelveticaNeue LightCond" w:hAnsi="HelveticaNeue LightCond" w:cs="HelveticaNeue-LightCond"/>
          <w:sz w:val="20"/>
          <w:szCs w:val="20"/>
          <w:lang w:eastAsia="ko-KR"/>
        </w:rPr>
        <w:t>poured</w:t>
      </w:r>
      <w:r w:rsidR="00D736B4"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concrete/unit masonry; </w:t>
      </w:r>
      <w:r w:rsidR="004C3655" w:rsidRPr="00C93D84">
        <w:rPr>
          <w:rFonts w:ascii="HelveticaNeue LightCond" w:hAnsi="HelveticaNeue LightCond" w:cs="HelveticaNeue-LightCond"/>
          <w:sz w:val="20"/>
          <w:szCs w:val="20"/>
          <w:lang w:eastAsia="ko-KR"/>
        </w:rPr>
        <w:t xml:space="preserve">stucco or exterior gypsum </w:t>
      </w:r>
      <w:r w:rsidR="0047591F">
        <w:rPr>
          <w:rFonts w:ascii="HelveticaNeue LightCond" w:hAnsi="HelveticaNeue LightCond" w:cs="HelveticaNeue-LightCond"/>
          <w:sz w:val="20"/>
          <w:szCs w:val="20"/>
          <w:lang w:eastAsia="ko-KR"/>
        </w:rPr>
        <w:t>soffits</w:t>
      </w:r>
      <w:r w:rsidR="004C3655" w:rsidRPr="00C93D84">
        <w:rPr>
          <w:rFonts w:ascii="HelveticaNeue LightCond" w:hAnsi="HelveticaNeue LightCond" w:cs="HelveticaNeue-LightCond"/>
          <w:sz w:val="20"/>
          <w:szCs w:val="20"/>
          <w:lang w:eastAsia="ko-KR"/>
        </w:rPr>
        <w:t xml:space="preserve"> board (ASTM C931</w:t>
      </w:r>
      <w:r w:rsidR="0024641F">
        <w:rPr>
          <w:rFonts w:ascii="HelveticaNeue LightCond" w:hAnsi="HelveticaNeue LightCond" w:cs="HelveticaNeue-LightCond"/>
          <w:sz w:val="20"/>
          <w:szCs w:val="20"/>
          <w:lang w:eastAsia="ko-KR"/>
        </w:rPr>
        <w:t xml:space="preserve"> or ASTM C1396</w:t>
      </w:r>
      <w:r w:rsidR="004C3655" w:rsidRPr="00C93D84">
        <w:rPr>
          <w:rFonts w:ascii="HelveticaNeue LightCond" w:hAnsi="HelveticaNeue LightCond" w:cs="HelveticaNeue-LightCond"/>
          <w:sz w:val="20"/>
          <w:szCs w:val="20"/>
          <w:lang w:eastAsia="ko-KR"/>
        </w:rPr>
        <w:t>).</w:t>
      </w:r>
    </w:p>
    <w:p w14:paraId="45895E4B" w14:textId="77777777" w:rsidR="00C93D84" w:rsidRPr="005D31AF" w:rsidRDefault="00C93D84" w:rsidP="0024641F">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47591F">
        <w:rPr>
          <w:rFonts w:ascii="Arial" w:hAnsi="Arial" w:cs="Arial"/>
          <w:sz w:val="20"/>
          <w:szCs w:val="20"/>
        </w:rPr>
        <w:t>Senergy</w:t>
      </w:r>
      <w:r w:rsidRPr="005D31AF">
        <w:rPr>
          <w:rFonts w:ascii="Arial" w:hAnsi="Arial" w:cs="Arial"/>
          <w:sz w:val="20"/>
          <w:szCs w:val="20"/>
        </w:rPr>
        <w:t xml:space="preserve"> before application. The applicator shall verify that the proposed substrate is acceptable prior to the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w:t>
      </w:r>
    </w:p>
    <w:p w14:paraId="41F338BD" w14:textId="77777777" w:rsidR="00C93D84" w:rsidRPr="005D31AF"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2AD48E2B" w14:textId="77777777" w:rsidR="00C93D84" w:rsidRPr="005D31AF" w:rsidRDefault="00C93D84" w:rsidP="00BA730E">
      <w:pPr>
        <w:widowControl w:val="0"/>
        <w:numPr>
          <w:ilvl w:val="0"/>
          <w:numId w:val="4"/>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375EC37D"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Expansion joints in the system are required a</w:t>
      </w:r>
      <w:r w:rsidR="00493714">
        <w:rPr>
          <w:rFonts w:ascii="Arial" w:hAnsi="Arial" w:cs="Arial"/>
          <w:sz w:val="20"/>
          <w:szCs w:val="20"/>
        </w:rPr>
        <w:t xml:space="preserve">t building expansion joints, </w:t>
      </w:r>
      <w:r w:rsidRPr="005D31AF">
        <w:rPr>
          <w:rFonts w:ascii="Arial" w:hAnsi="Arial" w:cs="Arial"/>
          <w:sz w:val="20"/>
          <w:szCs w:val="20"/>
        </w:rPr>
        <w:t>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497E7145"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47591F">
        <w:rPr>
          <w:rFonts w:ascii="Arial" w:hAnsi="Arial" w:cs="Arial"/>
          <w:bCs/>
          <w:sz w:val="20"/>
          <w:szCs w:val="20"/>
        </w:rPr>
        <w:t>Direct Finishing System for Soffits and Ceilings.</w:t>
      </w:r>
    </w:p>
    <w:p w14:paraId="12CC3C43"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Specify compatible closed cell backer rod and acceptable sealant that has been evaluated in accordance with ASTM C 1382, “Test Method for Determining Tensile Adhesion Properties of </w:t>
      </w:r>
      <w:r w:rsidR="00093487" w:rsidRPr="005D31AF">
        <w:rPr>
          <w:rFonts w:ascii="Arial" w:hAnsi="Arial" w:cs="Arial"/>
          <w:sz w:val="20"/>
          <w:szCs w:val="20"/>
        </w:rPr>
        <w:t>Sealants”</w:t>
      </w:r>
      <w:r w:rsidRPr="005D31AF">
        <w:rPr>
          <w:rFonts w:ascii="Arial" w:hAnsi="Arial" w:cs="Arial"/>
          <w:sz w:val="20"/>
          <w:szCs w:val="20"/>
        </w:rPr>
        <w:t xml:space="preserve"> and that meets minimum 50% elongation after conditioning.</w:t>
      </w:r>
    </w:p>
    <w:p w14:paraId="403081CC"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FF05670"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6230CCAB"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47591F">
        <w:rPr>
          <w:rFonts w:ascii="Arial" w:hAnsi="Arial" w:cs="Arial"/>
          <w:sz w:val="20"/>
          <w:szCs w:val="20"/>
        </w:rPr>
        <w:t>Master Builders Solutions</w:t>
      </w:r>
      <w:r w:rsidRPr="005D31AF">
        <w:rPr>
          <w:rFonts w:ascii="Arial" w:hAnsi="Arial" w:cs="Arial"/>
          <w:sz w:val="20"/>
          <w:szCs w:val="20"/>
        </w:rPr>
        <w:t>’ Technical Services Department for specific recommendations concerning all other applications. Consult the Senergy website, www.senergy.</w:t>
      </w:r>
      <w:r w:rsidR="0047591F">
        <w:rPr>
          <w:rFonts w:ascii="Arial" w:hAnsi="Arial" w:cs="Arial"/>
          <w:sz w:val="20"/>
          <w:szCs w:val="20"/>
        </w:rPr>
        <w:t>master-builders-solutions</w:t>
      </w:r>
      <w:r w:rsidRPr="005D31AF">
        <w:rPr>
          <w:rFonts w:ascii="Arial" w:hAnsi="Arial" w:cs="Arial"/>
          <w:sz w:val="20"/>
          <w:szCs w:val="20"/>
        </w:rPr>
        <w:t>.com,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0528AEFD" w14:textId="77777777" w:rsidR="0047591F" w:rsidRDefault="0047591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4CDE4D9"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9D11080"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472FD22"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A65B3C8"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AAEBC7F" w14:textId="77777777" w:rsidR="00093487" w:rsidRDefault="00093487"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C8240DC" w14:textId="77777777" w:rsidR="00093487"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1BFF00E8"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20D2749D"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4D06495"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09AF6ECA"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2A39F9E0" w14:textId="77777777" w:rsidR="00093487" w:rsidRPr="00093487" w:rsidRDefault="0047591F"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093487" w:rsidRPr="00093487">
        <w:rPr>
          <w:rFonts w:ascii="Arial" w:hAnsi="Arial" w:cs="Arial"/>
          <w:sz w:val="20"/>
          <w:szCs w:val="20"/>
        </w:rPr>
        <w:t xml:space="preserve">: </w:t>
      </w:r>
      <w:r w:rsidR="00093487">
        <w:rPr>
          <w:rFonts w:ascii="Arial" w:hAnsi="Arial" w:cs="Arial"/>
          <w:sz w:val="20"/>
          <w:szCs w:val="20"/>
        </w:rPr>
        <w:t>consist of</w:t>
      </w:r>
      <w:r w:rsidR="00093487" w:rsidRPr="00093487">
        <w:rPr>
          <w:rFonts w:ascii="Arial" w:hAnsi="Arial" w:cs="Arial"/>
          <w:sz w:val="20"/>
          <w:szCs w:val="20"/>
        </w:rPr>
        <w:t xml:space="preserve"> base coat, reinforcing mesh and finish coat.</w:t>
      </w:r>
    </w:p>
    <w:p w14:paraId="0D33CC96"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73C518A" w14:textId="77777777" w:rsidR="00093487" w:rsidRPr="00093487"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093487">
        <w:rPr>
          <w:rFonts w:ascii="Arial" w:hAnsi="Arial" w:cs="Arial"/>
          <w:sz w:val="20"/>
          <w:szCs w:val="20"/>
        </w:rPr>
        <w:t>T</w:t>
      </w:r>
      <w:r w:rsidR="0024641F">
        <w:rPr>
          <w:rFonts w:ascii="Arial" w:hAnsi="Arial" w:cs="Arial"/>
          <w:sz w:val="20"/>
          <w:szCs w:val="20"/>
        </w:rPr>
        <w:t xml:space="preserve">he system type shall be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093487">
        <w:rPr>
          <w:rFonts w:ascii="Arial" w:hAnsi="Arial" w:cs="Arial"/>
          <w:sz w:val="20"/>
          <w:szCs w:val="20"/>
        </w:rPr>
        <w:t xml:space="preserve">as manufactured by </w:t>
      </w:r>
      <w:r w:rsidR="00037F9C">
        <w:rPr>
          <w:rFonts w:ascii="Arial" w:hAnsi="Arial" w:cs="Arial"/>
          <w:sz w:val="20"/>
          <w:szCs w:val="20"/>
        </w:rPr>
        <w:t>Master Builders Solutions</w:t>
      </w:r>
      <w:r w:rsidRPr="00093487">
        <w:rPr>
          <w:rFonts w:ascii="Arial" w:hAnsi="Arial" w:cs="Arial"/>
          <w:sz w:val="20"/>
          <w:szCs w:val="20"/>
        </w:rPr>
        <w:t xml:space="preserve">, </w:t>
      </w:r>
      <w:r w:rsidR="00037F9C">
        <w:rPr>
          <w:rFonts w:ascii="Arial" w:hAnsi="Arial" w:cs="Arial"/>
          <w:sz w:val="20"/>
          <w:szCs w:val="20"/>
        </w:rPr>
        <w:t>Minneapolis, MN.</w:t>
      </w:r>
    </w:p>
    <w:p w14:paraId="0010D3B5" w14:textId="77777777" w:rsidR="004C3655" w:rsidRDefault="004C3655"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20967F8D" w14:textId="77777777" w:rsidR="00093487" w:rsidRPr="005D31AF" w:rsidRDefault="00093487"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48A811E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72C48012"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77721D9C"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6FE6D93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0628E4D6"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69DF99F7"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22289B9"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420A54C0" w14:textId="77777777" w:rsidR="00093487" w:rsidRPr="005D31AF" w:rsidRDefault="00093487" w:rsidP="00093487">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21621BB9" w14:textId="77777777" w:rsidR="00093487" w:rsidRPr="005D31AF" w:rsidRDefault="00471EAF"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Pr>
          <w:rFonts w:ascii="Arial" w:hAnsi="Arial" w:cs="Arial"/>
          <w:sz w:val="20"/>
          <w:szCs w:val="20"/>
        </w:rPr>
        <w:t xml:space="preserve">  </w:t>
      </w:r>
      <w:r w:rsidR="00093487" w:rsidRPr="005D31AF">
        <w:rPr>
          <w:rFonts w:ascii="Arial" w:hAnsi="Arial" w:cs="Arial"/>
          <w:sz w:val="20"/>
          <w:szCs w:val="20"/>
        </w:rPr>
        <w:t>Section 09 22 00 Supports for plaster and gypsum board</w:t>
      </w:r>
    </w:p>
    <w:p w14:paraId="4BCE571B"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45F08AEA"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380E0042" w14:textId="77777777" w:rsidR="00093487" w:rsidRDefault="00093487"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0C2CC83C"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2D0A5A9F"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014361C7" w14:textId="77777777" w:rsidR="00093487" w:rsidRPr="003E7D98" w:rsidRDefault="00093487" w:rsidP="003E7D98">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47591F">
        <w:rPr>
          <w:rFonts w:ascii="Arial" w:hAnsi="Arial" w:cs="Arial"/>
          <w:bCs/>
          <w:sz w:val="20"/>
          <w:szCs w:val="20"/>
        </w:rPr>
        <w:t>Direct Finishing System for Soffits and Ceilings</w:t>
      </w:r>
      <w:r w:rsidRPr="005D31AF">
        <w:rPr>
          <w:rFonts w:ascii="Arial" w:hAnsi="Arial" w:cs="Arial"/>
          <w:sz w:val="20"/>
          <w:szCs w:val="20"/>
        </w:rPr>
        <w:t xml:space="preserve"> materials, product characteristics, performance criteria, limitations and durability.</w:t>
      </w:r>
    </w:p>
    <w:p w14:paraId="110AC4DF" w14:textId="77777777" w:rsidR="00093487" w:rsidRPr="005D31AF" w:rsidRDefault="00093487" w:rsidP="003E7D98">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47591F">
        <w:rPr>
          <w:rFonts w:ascii="Arial" w:hAnsi="Arial" w:cs="Arial"/>
          <w:bCs/>
          <w:sz w:val="20"/>
          <w:szCs w:val="20"/>
        </w:rPr>
        <w:t>Direct Finishing System for Soffits and Ceilings</w:t>
      </w:r>
      <w:r w:rsidRPr="005D31AF">
        <w:rPr>
          <w:rFonts w:ascii="Arial" w:hAnsi="Arial" w:cs="Arial"/>
          <w:sz w:val="20"/>
          <w:szCs w:val="20"/>
        </w:rPr>
        <w:t xml:space="preserve"> illustrating finish coat color and texture range.</w:t>
      </w:r>
    </w:p>
    <w:p w14:paraId="652F4D9E"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62C18AFD"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35FDF350" w14:textId="77777777" w:rsidR="00093487" w:rsidRPr="005D31AF" w:rsidRDefault="00093487" w:rsidP="00093487">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6A6C1103"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ED58ED5"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71D56D0C"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23C5663D"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037F9C">
        <w:rPr>
          <w:rFonts w:ascii="Arial" w:hAnsi="Arial" w:cs="Arial"/>
          <w:sz w:val="20"/>
          <w:szCs w:val="20"/>
        </w:rPr>
        <w:t>Master Builders Solutions</w:t>
      </w:r>
      <w:r w:rsidRPr="005D31AF">
        <w:rPr>
          <w:rFonts w:ascii="Arial" w:hAnsi="Arial" w:cs="Arial"/>
          <w:sz w:val="20"/>
          <w:szCs w:val="20"/>
        </w:rPr>
        <w:t xml:space="preserve"> in performing work of this section.</w:t>
      </w:r>
    </w:p>
    <w:p w14:paraId="66EFF5D1"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1EB653F4"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53BF893D"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7600BB94"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1529157A"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6429B4C5"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2F08E666"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base coat, reinforcing mesh, primer (if specified), finish c</w:t>
      </w:r>
      <w:r>
        <w:rPr>
          <w:rFonts w:ascii="Arial" w:hAnsi="Arial" w:cs="Arial"/>
          <w:sz w:val="20"/>
          <w:szCs w:val="20"/>
        </w:rPr>
        <w:t>oat and typical sealant</w:t>
      </w:r>
      <w:r w:rsidRPr="005D31AF">
        <w:rPr>
          <w:rFonts w:ascii="Arial" w:hAnsi="Arial" w:cs="Arial"/>
          <w:sz w:val="20"/>
          <w:szCs w:val="20"/>
        </w:rPr>
        <w:t xml:space="preserve"> conditions.</w:t>
      </w:r>
    </w:p>
    <w:p w14:paraId="037BA210" w14:textId="77777777" w:rsidR="003E7D98" w:rsidRPr="00471EAF" w:rsidRDefault="003E7D98" w:rsidP="00471EAF">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3904EC78" w14:textId="77777777" w:rsidR="003E7D98" w:rsidRPr="00C77963" w:rsidRDefault="003E7D98" w:rsidP="00BA730E">
      <w:pPr>
        <w:numPr>
          <w:ilvl w:val="0"/>
          <w:numId w:val="9"/>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t xml:space="preserve">Senerflex Finish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3E7D98" w:rsidRPr="00BE43A5" w14:paraId="338DC007" w14:textId="77777777" w:rsidTr="003E7D98">
        <w:tc>
          <w:tcPr>
            <w:tcW w:w="1980" w:type="dxa"/>
            <w:shd w:val="clear" w:color="auto" w:fill="auto"/>
          </w:tcPr>
          <w:p w14:paraId="0CF09B54"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05838FEE"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23354999"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4E552588"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3E7D98" w:rsidRPr="00BE43A5" w14:paraId="6EBD332C" w14:textId="77777777" w:rsidTr="003E7D98">
        <w:tc>
          <w:tcPr>
            <w:tcW w:w="1980" w:type="dxa"/>
            <w:shd w:val="clear" w:color="auto" w:fill="auto"/>
          </w:tcPr>
          <w:p w14:paraId="600C9C6A"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lastRenderedPageBreak/>
              <w:t xml:space="preserve">Surface Burning </w:t>
            </w:r>
          </w:p>
        </w:tc>
        <w:tc>
          <w:tcPr>
            <w:tcW w:w="1440" w:type="dxa"/>
            <w:shd w:val="clear" w:color="auto" w:fill="auto"/>
          </w:tcPr>
          <w:p w14:paraId="5ED98079"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ASTM E84 / UL 723</w:t>
            </w:r>
          </w:p>
        </w:tc>
        <w:tc>
          <w:tcPr>
            <w:tcW w:w="2610" w:type="dxa"/>
            <w:shd w:val="clear" w:color="auto" w:fill="auto"/>
          </w:tcPr>
          <w:p w14:paraId="5922865C"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25 </w:t>
            </w:r>
          </w:p>
          <w:p w14:paraId="1C89608C"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5D49AEA1"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3E7D98" w:rsidRPr="00BE43A5" w14:paraId="2C8BBB1B" w14:textId="77777777" w:rsidTr="003E7D98">
        <w:tc>
          <w:tcPr>
            <w:tcW w:w="1980" w:type="dxa"/>
            <w:shd w:val="clear" w:color="auto" w:fill="auto"/>
          </w:tcPr>
          <w:p w14:paraId="6B611345"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062D3AAD"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1030B506"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379D672B"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3E7D98" w:rsidRPr="00BE43A5" w14:paraId="37AABC72" w14:textId="77777777" w:rsidTr="003E7D98">
        <w:tc>
          <w:tcPr>
            <w:tcW w:w="1980" w:type="dxa"/>
            <w:shd w:val="clear" w:color="auto" w:fill="auto"/>
          </w:tcPr>
          <w:p w14:paraId="0795D686"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1A5392BF"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1331687B"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6981E7E9"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3E7D98" w:rsidRPr="00BE43A5" w14:paraId="6EA5918F" w14:textId="77777777" w:rsidTr="003E7D98">
        <w:tc>
          <w:tcPr>
            <w:tcW w:w="1980" w:type="dxa"/>
            <w:shd w:val="clear" w:color="auto" w:fill="auto"/>
          </w:tcPr>
          <w:p w14:paraId="2C0C4359"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6D807051"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7361BC19"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077A01D9"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3E7D98" w:rsidRPr="00BE43A5" w14:paraId="4D0621E5" w14:textId="77777777" w:rsidTr="003E7D98">
        <w:tc>
          <w:tcPr>
            <w:tcW w:w="1980" w:type="dxa"/>
            <w:shd w:val="clear" w:color="auto" w:fill="auto"/>
          </w:tcPr>
          <w:p w14:paraId="60CE0FD6"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5C426C5E"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7B443400"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028BECC0"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3E7D98" w:rsidRPr="00BE43A5" w14:paraId="7C9F6804" w14:textId="77777777" w:rsidTr="003E7D98">
        <w:tc>
          <w:tcPr>
            <w:tcW w:w="1980" w:type="dxa"/>
            <w:shd w:val="clear" w:color="auto" w:fill="auto"/>
          </w:tcPr>
          <w:p w14:paraId="7F4F251B"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A4F88A1"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783939DD"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466DC806"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3E7D98" w:rsidRPr="00BE43A5" w14:paraId="4C518E0A" w14:textId="77777777" w:rsidTr="003E7D98">
        <w:tc>
          <w:tcPr>
            <w:tcW w:w="1980" w:type="dxa"/>
            <w:shd w:val="clear" w:color="auto" w:fill="auto"/>
          </w:tcPr>
          <w:p w14:paraId="0A66597E"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383E9F4"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46B2EB70" w14:textId="77777777" w:rsidR="003E7D98" w:rsidRPr="00C77963" w:rsidRDefault="003E7D98" w:rsidP="003E7D98">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58FF118F"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3E7D98" w:rsidRPr="00BE43A5" w14:paraId="2D005344" w14:textId="77777777" w:rsidTr="003E7D98">
        <w:tc>
          <w:tcPr>
            <w:tcW w:w="1980" w:type="dxa"/>
            <w:shd w:val="clear" w:color="auto" w:fill="auto"/>
          </w:tcPr>
          <w:p w14:paraId="6FC2EF78" w14:textId="77777777" w:rsidR="003E7D98"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2469C6A2" w14:textId="77777777" w:rsidR="003E7D98" w:rsidRPr="00BE43A5"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08F5E808" w14:textId="77777777" w:rsidR="003E7D98" w:rsidRPr="00C77963" w:rsidRDefault="003E7D98" w:rsidP="003E7D98">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5CD330B4" w14:textId="77777777" w:rsidR="003E7D98" w:rsidRDefault="003E7D98" w:rsidP="003E7D98">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087246F"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5B8D69CC" w14:textId="77777777" w:rsidR="003E7D98" w:rsidRPr="003E7D98" w:rsidRDefault="003E7D98" w:rsidP="00BA730E">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3E7D98">
        <w:rPr>
          <w:rFonts w:ascii="HelveticaNeue-LightCond" w:hAnsi="HelveticaNeue-LightCond" w:cs="HelveticaNeue-LightCond"/>
          <w:sz w:val="20"/>
          <w:szCs w:val="20"/>
          <w:lang w:eastAsia="ko-KR"/>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3E7D98" w:rsidRPr="00BA730E" w14:paraId="67EB62D0" w14:textId="77777777" w:rsidTr="003E7D98">
        <w:tc>
          <w:tcPr>
            <w:tcW w:w="1980" w:type="dxa"/>
            <w:shd w:val="clear" w:color="auto" w:fill="auto"/>
          </w:tcPr>
          <w:p w14:paraId="5B20AF25"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sz w:val="20"/>
                <w:szCs w:val="20"/>
                <w:lang w:eastAsia="ko-KR"/>
              </w:rPr>
            </w:pPr>
            <w:r w:rsidRPr="00BA730E">
              <w:rPr>
                <w:rFonts w:ascii="Arial" w:hAnsi="Arial" w:cs="Arial"/>
                <w:b/>
                <w:bCs/>
                <w:sz w:val="20"/>
                <w:szCs w:val="20"/>
                <w:lang w:eastAsia="ko-KR"/>
              </w:rPr>
              <w:t>TEST</w:t>
            </w:r>
          </w:p>
        </w:tc>
        <w:tc>
          <w:tcPr>
            <w:tcW w:w="1440" w:type="dxa"/>
            <w:shd w:val="clear" w:color="auto" w:fill="auto"/>
          </w:tcPr>
          <w:p w14:paraId="0FEC034C"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sz w:val="20"/>
                <w:szCs w:val="20"/>
                <w:lang w:eastAsia="ko-KR"/>
              </w:rPr>
            </w:pPr>
            <w:r w:rsidRPr="00BA730E">
              <w:rPr>
                <w:rFonts w:ascii="Arial" w:hAnsi="Arial" w:cs="Arial"/>
                <w:b/>
                <w:bCs/>
                <w:sz w:val="20"/>
                <w:szCs w:val="20"/>
                <w:lang w:eastAsia="ko-KR"/>
              </w:rPr>
              <w:t>METHOD</w:t>
            </w:r>
          </w:p>
        </w:tc>
        <w:tc>
          <w:tcPr>
            <w:tcW w:w="2610" w:type="dxa"/>
            <w:shd w:val="clear" w:color="auto" w:fill="auto"/>
          </w:tcPr>
          <w:p w14:paraId="6C4740D1"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sz w:val="20"/>
                <w:szCs w:val="20"/>
                <w:lang w:eastAsia="ko-KR"/>
              </w:rPr>
            </w:pPr>
            <w:r w:rsidRPr="00BA730E">
              <w:rPr>
                <w:rFonts w:ascii="Arial" w:hAnsi="Arial" w:cs="Arial"/>
                <w:b/>
                <w:bCs/>
                <w:sz w:val="20"/>
                <w:szCs w:val="20"/>
                <w:lang w:eastAsia="ko-KR"/>
              </w:rPr>
              <w:t xml:space="preserve">CRITERIA </w:t>
            </w:r>
          </w:p>
        </w:tc>
        <w:tc>
          <w:tcPr>
            <w:tcW w:w="3420" w:type="dxa"/>
            <w:shd w:val="clear" w:color="auto" w:fill="auto"/>
          </w:tcPr>
          <w:p w14:paraId="048E7356"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sz w:val="20"/>
                <w:szCs w:val="20"/>
                <w:lang w:eastAsia="ko-KR"/>
              </w:rPr>
            </w:pPr>
            <w:r w:rsidRPr="00BA730E">
              <w:rPr>
                <w:rFonts w:ascii="Arial" w:hAnsi="Arial" w:cs="Arial"/>
                <w:b/>
                <w:bCs/>
                <w:sz w:val="20"/>
                <w:szCs w:val="20"/>
                <w:lang w:eastAsia="ko-KR"/>
              </w:rPr>
              <w:t>RESULTS</w:t>
            </w:r>
          </w:p>
        </w:tc>
      </w:tr>
      <w:tr w:rsidR="003E7D98" w:rsidRPr="00BA730E" w14:paraId="114EA99A" w14:textId="77777777" w:rsidTr="003E7D98">
        <w:tc>
          <w:tcPr>
            <w:tcW w:w="1980" w:type="dxa"/>
            <w:shd w:val="clear" w:color="auto" w:fill="auto"/>
          </w:tcPr>
          <w:p w14:paraId="4C3AA4B9"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Alkali Resistance of Reinforcing Mesh</w:t>
            </w:r>
          </w:p>
        </w:tc>
        <w:tc>
          <w:tcPr>
            <w:tcW w:w="1440" w:type="dxa"/>
            <w:shd w:val="clear" w:color="auto" w:fill="auto"/>
          </w:tcPr>
          <w:p w14:paraId="00CE1AE9"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 2098</w:t>
            </w:r>
          </w:p>
        </w:tc>
        <w:tc>
          <w:tcPr>
            <w:tcW w:w="2610" w:type="dxa"/>
            <w:shd w:val="clear" w:color="auto" w:fill="auto"/>
          </w:tcPr>
          <w:p w14:paraId="7DEB1DFB"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Greater than 120 pli (21 dN/CM) retained tensile strength</w:t>
            </w:r>
          </w:p>
        </w:tc>
        <w:tc>
          <w:tcPr>
            <w:tcW w:w="3420" w:type="dxa"/>
            <w:shd w:val="clear" w:color="auto" w:fill="auto"/>
          </w:tcPr>
          <w:p w14:paraId="3FEA0F03"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 (all mesh)</w:t>
            </w:r>
          </w:p>
        </w:tc>
      </w:tr>
      <w:tr w:rsidR="003E7D98" w:rsidRPr="00BA730E" w14:paraId="52F08A38" w14:textId="77777777" w:rsidTr="003E7D98">
        <w:tc>
          <w:tcPr>
            <w:tcW w:w="1980" w:type="dxa"/>
            <w:shd w:val="clear" w:color="auto" w:fill="auto"/>
          </w:tcPr>
          <w:p w14:paraId="11CD45AD"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FLEXGUARD 4</w:t>
            </w:r>
          </w:p>
        </w:tc>
        <w:tc>
          <w:tcPr>
            <w:tcW w:w="1440" w:type="dxa"/>
            <w:shd w:val="clear" w:color="auto" w:fill="auto"/>
          </w:tcPr>
          <w:p w14:paraId="0AF6B154"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34FD8ED3"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25-49 inch-lbs. (2.8-5.6 j)</w:t>
            </w:r>
          </w:p>
        </w:tc>
        <w:tc>
          <w:tcPr>
            <w:tcW w:w="3420" w:type="dxa"/>
            <w:shd w:val="clear" w:color="auto" w:fill="auto"/>
          </w:tcPr>
          <w:p w14:paraId="7E5D0E0A"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0836258F" w14:textId="77777777" w:rsidTr="003E7D98">
        <w:tc>
          <w:tcPr>
            <w:tcW w:w="1980" w:type="dxa"/>
            <w:shd w:val="clear" w:color="auto" w:fill="auto"/>
          </w:tcPr>
          <w:p w14:paraId="70F37875"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INTERMEDIATE 6</w:t>
            </w:r>
          </w:p>
        </w:tc>
        <w:tc>
          <w:tcPr>
            <w:tcW w:w="1440" w:type="dxa"/>
            <w:shd w:val="clear" w:color="auto" w:fill="auto"/>
          </w:tcPr>
          <w:p w14:paraId="476112D8"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721CC980"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25-49 inch-lbs. (2.8-5.6 j)</w:t>
            </w:r>
          </w:p>
        </w:tc>
        <w:tc>
          <w:tcPr>
            <w:tcW w:w="3420" w:type="dxa"/>
            <w:shd w:val="clear" w:color="auto" w:fill="auto"/>
          </w:tcPr>
          <w:p w14:paraId="556B15F4"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1B6FDD65" w14:textId="77777777" w:rsidTr="003E7D98">
        <w:tc>
          <w:tcPr>
            <w:tcW w:w="1980" w:type="dxa"/>
            <w:shd w:val="clear" w:color="auto" w:fill="auto"/>
          </w:tcPr>
          <w:p w14:paraId="204B925A"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INTERMEDIATE 12</w:t>
            </w:r>
          </w:p>
        </w:tc>
        <w:tc>
          <w:tcPr>
            <w:tcW w:w="1440" w:type="dxa"/>
            <w:shd w:val="clear" w:color="auto" w:fill="auto"/>
          </w:tcPr>
          <w:p w14:paraId="0E3A5167"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6E519390"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50-89 inch-lbs. (5.7-10.1 j)</w:t>
            </w:r>
          </w:p>
        </w:tc>
        <w:tc>
          <w:tcPr>
            <w:tcW w:w="3420" w:type="dxa"/>
            <w:shd w:val="clear" w:color="auto" w:fill="auto"/>
          </w:tcPr>
          <w:p w14:paraId="4A96EF87"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57EF0254" w14:textId="77777777" w:rsidTr="003E7D98">
        <w:tc>
          <w:tcPr>
            <w:tcW w:w="1980" w:type="dxa"/>
            <w:shd w:val="clear" w:color="auto" w:fill="auto"/>
          </w:tcPr>
          <w:p w14:paraId="2D8D2CE1"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INTERMEDIATE 12 &amp; FLEXGUARD 4</w:t>
            </w:r>
          </w:p>
        </w:tc>
        <w:tc>
          <w:tcPr>
            <w:tcW w:w="1440" w:type="dxa"/>
            <w:shd w:val="clear" w:color="auto" w:fill="auto"/>
          </w:tcPr>
          <w:p w14:paraId="1BFF8EA1"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360F76A1"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90-150 inch-lbs. (10.2-17.0 j)</w:t>
            </w:r>
          </w:p>
        </w:tc>
        <w:tc>
          <w:tcPr>
            <w:tcW w:w="3420" w:type="dxa"/>
            <w:shd w:val="clear" w:color="auto" w:fill="auto"/>
          </w:tcPr>
          <w:p w14:paraId="0A46C48D"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22C03FAD" w14:textId="77777777" w:rsidTr="003E7D98">
        <w:tc>
          <w:tcPr>
            <w:tcW w:w="1980" w:type="dxa"/>
            <w:shd w:val="clear" w:color="auto" w:fill="auto"/>
          </w:tcPr>
          <w:p w14:paraId="073937B2"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STRONG 15 &amp; FLEXGUARD 4</w:t>
            </w:r>
          </w:p>
        </w:tc>
        <w:tc>
          <w:tcPr>
            <w:tcW w:w="1440" w:type="dxa"/>
            <w:shd w:val="clear" w:color="auto" w:fill="auto"/>
          </w:tcPr>
          <w:p w14:paraId="391A5FB6"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43D69DDC"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150 inch-lbs. (17 j)</w:t>
            </w:r>
          </w:p>
        </w:tc>
        <w:tc>
          <w:tcPr>
            <w:tcW w:w="3420" w:type="dxa"/>
            <w:shd w:val="clear" w:color="auto" w:fill="auto"/>
          </w:tcPr>
          <w:p w14:paraId="1B72EB79"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6E30F779" w14:textId="77777777" w:rsidTr="003E7D98">
        <w:tc>
          <w:tcPr>
            <w:tcW w:w="1980" w:type="dxa"/>
            <w:shd w:val="clear" w:color="auto" w:fill="auto"/>
          </w:tcPr>
          <w:p w14:paraId="44578499"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HI-IMPACT 20 &amp; FLEXGUARD 4</w:t>
            </w:r>
          </w:p>
        </w:tc>
        <w:tc>
          <w:tcPr>
            <w:tcW w:w="1440" w:type="dxa"/>
            <w:shd w:val="clear" w:color="auto" w:fill="auto"/>
          </w:tcPr>
          <w:p w14:paraId="6C86B6A0"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E2486 (formerly EIMA 101.86)</w:t>
            </w:r>
          </w:p>
        </w:tc>
        <w:tc>
          <w:tcPr>
            <w:tcW w:w="2610" w:type="dxa"/>
            <w:shd w:val="clear" w:color="auto" w:fill="auto"/>
          </w:tcPr>
          <w:p w14:paraId="0718F830"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150 inch-lbs. (17 j)</w:t>
            </w:r>
          </w:p>
        </w:tc>
        <w:tc>
          <w:tcPr>
            <w:tcW w:w="3420" w:type="dxa"/>
            <w:shd w:val="clear" w:color="auto" w:fill="auto"/>
          </w:tcPr>
          <w:p w14:paraId="63F5F7D1"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w:t>
            </w:r>
          </w:p>
        </w:tc>
      </w:tr>
    </w:tbl>
    <w:p w14:paraId="6792C209"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42AAE76"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74739A83"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 xml:space="preserve">Deliver, store and handle products under provisions of Section </w:t>
      </w:r>
      <w:r w:rsidRPr="0047591F">
        <w:rPr>
          <w:rFonts w:ascii="Arial" w:hAnsi="Arial" w:cs="Arial"/>
          <w:sz w:val="20"/>
        </w:rPr>
        <w:t>[01 65 00] [01 66 00] [ ].</w:t>
      </w:r>
    </w:p>
    <w:p w14:paraId="11FB95E5"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Deliver Master Builders Solutions materials in original unopened packages with manufacturer’s labels intact.</w:t>
      </w:r>
    </w:p>
    <w:p w14:paraId="7BB220DE"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Protect Master Builders Solutions materials during transportation and installation to avoid physical damage.</w:t>
      </w:r>
    </w:p>
    <w:p w14:paraId="7BA3EB11"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Store Master Builders Solutions materials in cool, dry place protected from freezing. Store at no less than 40°F/4°C (50°F/10°C AURORA STONE, AURORA TC-100 and ALUMINA finish).</w:t>
      </w:r>
    </w:p>
    <w:p w14:paraId="5A7DE648" w14:textId="77777777" w:rsidR="0047591F" w:rsidRPr="0047591F" w:rsidRDefault="0047591F" w:rsidP="0047591F">
      <w:pPr>
        <w:widowControl w:val="0"/>
        <w:numPr>
          <w:ilvl w:val="2"/>
          <w:numId w:val="3"/>
        </w:numPr>
        <w:tabs>
          <w:tab w:val="clear" w:pos="720"/>
          <w:tab w:val="num" w:pos="432"/>
        </w:tabs>
        <w:autoSpaceDE w:val="0"/>
        <w:autoSpaceDN w:val="0"/>
        <w:adjustRightInd w:val="0"/>
        <w:ind w:left="270" w:hanging="270"/>
        <w:rPr>
          <w:rFonts w:ascii="Arial" w:hAnsi="Arial"/>
          <w:sz w:val="20"/>
          <w:szCs w:val="20"/>
        </w:rPr>
      </w:pPr>
      <w:r w:rsidRPr="0047591F">
        <w:rPr>
          <w:rFonts w:ascii="Arial" w:hAnsi="Arial"/>
          <w:sz w:val="20"/>
          <w:szCs w:val="20"/>
        </w:rPr>
        <w:t>Store MAXFLASH at a minimum of 40F. In cold weather, keep containers at room temperature for at least 24 hours before using.</w:t>
      </w:r>
    </w:p>
    <w:p w14:paraId="2AF842C8"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Store insulation boards flat and protected from direct sunlight and extreme heat.</w:t>
      </w:r>
    </w:p>
    <w:p w14:paraId="1126B858" w14:textId="77777777" w:rsidR="0047591F" w:rsidRPr="0047591F" w:rsidRDefault="0047591F" w:rsidP="0047591F">
      <w:pPr>
        <w:widowControl w:val="0"/>
        <w:numPr>
          <w:ilvl w:val="2"/>
          <w:numId w:val="3"/>
        </w:numPr>
        <w:tabs>
          <w:tab w:val="clear" w:pos="720"/>
          <w:tab w:val="left" w:pos="144"/>
          <w:tab w:val="num" w:pos="270"/>
          <w:tab w:val="num"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Store Reinforcing Mesh in cool, dry place protected from exposure to moisture.</w:t>
      </w:r>
    </w:p>
    <w:p w14:paraId="157AB89A" w14:textId="77777777" w:rsidR="0047591F" w:rsidRPr="0047591F" w:rsidRDefault="0047591F" w:rsidP="004759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0089B01" w14:textId="77777777" w:rsidR="0047591F" w:rsidRPr="0047591F" w:rsidRDefault="0047591F" w:rsidP="0047591F">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47591F">
        <w:rPr>
          <w:rFonts w:ascii="Arial" w:hAnsi="Arial" w:cs="Arial"/>
          <w:b/>
          <w:sz w:val="20"/>
          <w:szCs w:val="20"/>
        </w:rPr>
        <w:t>PROJECT/SITE CONDITIONS</w:t>
      </w:r>
    </w:p>
    <w:p w14:paraId="052F2B8A" w14:textId="77777777" w:rsidR="0047591F" w:rsidRPr="0047591F" w:rsidRDefault="0047591F" w:rsidP="0047591F">
      <w:pPr>
        <w:widowControl w:val="0"/>
        <w:numPr>
          <w:ilvl w:val="0"/>
          <w:numId w:val="10"/>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Do not apply Master Builders Solutions material in ambient temperatures below 40°F/4°C (50°F/10°C for AURORA STONE, AURORA TC-100 and ALUMINA Finish). Provide properly vented, supplementary heat during installation and drying period when temperatures less than 40°F/4°C (50°F/10°C for AURORA STONE, AURORA TC-100 and ALUMINA Finish) prevail.</w:t>
      </w:r>
    </w:p>
    <w:p w14:paraId="7DA60D1E" w14:textId="77777777" w:rsidR="0047591F" w:rsidRPr="0047591F" w:rsidRDefault="0047591F" w:rsidP="0047591F">
      <w:pPr>
        <w:widowControl w:val="0"/>
        <w:numPr>
          <w:ilvl w:val="0"/>
          <w:numId w:val="10"/>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Do not apply materials to frozen surfaces.</w:t>
      </w:r>
    </w:p>
    <w:p w14:paraId="66523CBF" w14:textId="77777777" w:rsidR="0047591F" w:rsidRPr="0047591F" w:rsidRDefault="0047591F" w:rsidP="0047591F">
      <w:pPr>
        <w:widowControl w:val="0"/>
        <w:numPr>
          <w:ilvl w:val="0"/>
          <w:numId w:val="10"/>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Maintain ambient temperature at or above 40°F/4°C (50°F/10°C for AURORA STONE, AURORA TC-100 and ALUMINA Finish) during and at least 24 hours after Channeled Adhesive CI Design Wall System installation and until dry.</w:t>
      </w:r>
    </w:p>
    <w:p w14:paraId="7BF1472C" w14:textId="77777777" w:rsidR="0047591F" w:rsidRPr="0047591F" w:rsidRDefault="0047591F" w:rsidP="0047591F">
      <w:pPr>
        <w:widowControl w:val="0"/>
        <w:numPr>
          <w:ilvl w:val="0"/>
          <w:numId w:val="10"/>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7591F">
        <w:rPr>
          <w:rFonts w:ascii="Arial" w:hAnsi="Arial" w:cs="Arial"/>
          <w:sz w:val="20"/>
          <w:szCs w:val="20"/>
        </w:rPr>
        <w:t xml:space="preserve">Protect installed product from precipitation and other sources of moisture for minimum of 24 hours and </w:t>
      </w:r>
      <w:r w:rsidRPr="0047591F">
        <w:rPr>
          <w:rFonts w:ascii="Arial" w:hAnsi="Arial" w:cs="Arial"/>
          <w:sz w:val="20"/>
          <w:szCs w:val="20"/>
        </w:rPr>
        <w:lastRenderedPageBreak/>
        <w:t>until dry.</w:t>
      </w:r>
    </w:p>
    <w:p w14:paraId="72445060" w14:textId="77777777" w:rsidR="003E7D98" w:rsidRPr="005D31AF" w:rsidRDefault="003E7D98" w:rsidP="003E7D9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41CC7A92"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5C870B14"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5D31AF">
        <w:rPr>
          <w:rFonts w:ascii="Arial" w:hAnsi="Arial" w:cs="Arial"/>
          <w:sz w:val="20"/>
          <w:szCs w:val="20"/>
        </w:rPr>
        <w:t xml:space="preserve">with related work of other sections. </w:t>
      </w:r>
    </w:p>
    <w:p w14:paraId="43C0E884"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5AA4D928"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012BBF22"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0650288A" w14:textId="77777777"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037F9C">
        <w:rPr>
          <w:rFonts w:ascii="Arial" w:hAnsi="Arial" w:cs="Arial"/>
          <w:sz w:val="20"/>
          <w:szCs w:val="20"/>
        </w:rPr>
        <w:t>Master Builders Solutions</w:t>
      </w:r>
      <w:r w:rsidR="00037F9C" w:rsidRPr="005D31AF">
        <w:rPr>
          <w:rFonts w:ascii="Arial" w:hAnsi="Arial" w:cs="Arial"/>
          <w:sz w:val="20"/>
          <w:szCs w:val="20"/>
        </w:rPr>
        <w:t xml:space="preserve"> </w:t>
      </w:r>
      <w:r w:rsidR="00037F9C">
        <w:rPr>
          <w:rFonts w:ascii="Arial" w:hAnsi="Arial" w:cs="Arial"/>
          <w:sz w:val="20"/>
          <w:szCs w:val="20"/>
        </w:rPr>
        <w:t>standard</w:t>
      </w:r>
      <w:r w:rsidRPr="005D31AF">
        <w:rPr>
          <w:rFonts w:ascii="Arial" w:hAnsi="Arial" w:cs="Arial"/>
          <w:sz w:val="20"/>
          <w:szCs w:val="20"/>
        </w:rPr>
        <w:t xml:space="preserve"> warranty for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installations under provisions of Section [01 70 00]. Reference Senergy’s </w:t>
      </w:r>
      <w:r w:rsidRPr="005D31AF">
        <w:rPr>
          <w:rFonts w:ascii="Arial" w:hAnsi="Arial" w:cs="Arial"/>
          <w:i/>
          <w:iCs/>
          <w:sz w:val="20"/>
          <w:szCs w:val="20"/>
        </w:rPr>
        <w:t>EIFS and Coating Warranty Schedul</w:t>
      </w:r>
      <w:r w:rsidRPr="005D31AF">
        <w:rPr>
          <w:rFonts w:ascii="Arial" w:hAnsi="Arial" w:cs="Arial"/>
          <w:sz w:val="20"/>
          <w:szCs w:val="20"/>
        </w:rPr>
        <w:t xml:space="preserve">e technical bulletin for specific information. </w:t>
      </w:r>
    </w:p>
    <w:p w14:paraId="4C2FD78D" w14:textId="77777777"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037F9C">
        <w:rPr>
          <w:rFonts w:ascii="Arial" w:hAnsi="Arial" w:cs="Arial"/>
          <w:sz w:val="20"/>
          <w:szCs w:val="20"/>
        </w:rPr>
        <w:t>Master Builders Solutions</w:t>
      </w:r>
      <w:r>
        <w:rPr>
          <w:rFonts w:ascii="Arial" w:hAnsi="Arial" w:cs="Arial"/>
          <w:sz w:val="20"/>
          <w:szCs w:val="20"/>
        </w:rPr>
        <w:t>’</w:t>
      </w:r>
      <w:r w:rsidRPr="005D31AF">
        <w:rPr>
          <w:rFonts w:ascii="Arial" w:hAnsi="Arial" w:cs="Arial"/>
          <w:sz w:val="20"/>
          <w:szCs w:val="20"/>
        </w:rPr>
        <w:t xml:space="preserve"> project review requirements and notification procedures to assure qualification for warranty.</w:t>
      </w:r>
    </w:p>
    <w:p w14:paraId="626D2202"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FBE82E4"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AB02857"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73085E54" w14:textId="77777777" w:rsidR="003E7D98" w:rsidRPr="005D31AF" w:rsidRDefault="0047591F" w:rsidP="00BA730E">
      <w:pPr>
        <w:widowControl w:val="0"/>
        <w:numPr>
          <w:ilvl w:val="0"/>
          <w:numId w:val="1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3E7D98" w:rsidRPr="005D31AF">
        <w:rPr>
          <w:rFonts w:ascii="Arial" w:hAnsi="Arial" w:cs="Arial"/>
          <w:sz w:val="20"/>
          <w:szCs w:val="20"/>
        </w:rPr>
        <w:t xml:space="preserve"> manufactured by </w:t>
      </w:r>
      <w:r w:rsidR="00037F9C">
        <w:rPr>
          <w:rFonts w:ascii="Arial" w:hAnsi="Arial" w:cs="Arial"/>
          <w:sz w:val="20"/>
          <w:szCs w:val="20"/>
        </w:rPr>
        <w:t>Master Builders Solutions</w:t>
      </w:r>
      <w:r w:rsidR="003E7D98" w:rsidRPr="005D31AF">
        <w:rPr>
          <w:rFonts w:ascii="Arial" w:hAnsi="Arial" w:cs="Arial"/>
          <w:sz w:val="20"/>
          <w:szCs w:val="20"/>
        </w:rPr>
        <w:t>.</w:t>
      </w:r>
    </w:p>
    <w:p w14:paraId="2317BCB8"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60AFB097"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4F167136" w14:textId="77777777" w:rsidR="003E7D98" w:rsidRDefault="003E7D98" w:rsidP="003E7D98">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037F9C">
        <w:rPr>
          <w:rFonts w:ascii="Arial" w:hAnsi="Arial" w:cs="Arial"/>
          <w:b/>
          <w:color w:val="0000FF"/>
          <w:sz w:val="20"/>
          <w:szCs w:val="20"/>
          <w:u w:val="single"/>
        </w:rPr>
        <w:t>Master Builders Solutions’</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2B021516" w14:textId="77777777" w:rsidR="000364F9" w:rsidRPr="00961597" w:rsidRDefault="000364F9" w:rsidP="00BA730E">
      <w:pPr>
        <w:widowControl w:val="0"/>
        <w:numPr>
          <w:ilvl w:val="0"/>
          <w:numId w:val="18"/>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09EFB91F" w14:textId="77777777"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Base Coat: A 100% acrylic based adhesive and base coat, field-mixed with Type I or Type II Portland cement. It has a creamy texture that is easily spread. </w:t>
      </w:r>
    </w:p>
    <w:p w14:paraId="4C9DA2B8" w14:textId="77777777"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DRY Base Coat: A dry-mix polymer adhesive and base coat containing Portland cement, and requiring only water for mixing.</w:t>
      </w:r>
      <w:r w:rsidRPr="00961597">
        <w:rPr>
          <w:rFonts w:ascii="Helvetica" w:hAnsi="Helvetica" w:cs="Arial"/>
          <w:color w:val="0000FF"/>
          <w:sz w:val="18"/>
          <w:szCs w:val="18"/>
          <w:u w:val="single"/>
        </w:rPr>
        <w:t xml:space="preserve"> </w:t>
      </w:r>
    </w:p>
    <w:p w14:paraId="5678391F" w14:textId="77777777"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XTRA-STOP Base Coat: A 100% acrylic-based, water-resistant adhesive and base coat, field-mixed with Type I or Type II Portland cement.</w:t>
      </w:r>
    </w:p>
    <w:p w14:paraId="5D3430A7" w14:textId="77777777"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GENIE Base Coat: A 100% acrylic, fiber-reinforced base coat, adhesive and leveler that is field-mixed with Type I or Type II Portland cement.</w:t>
      </w:r>
    </w:p>
    <w:p w14:paraId="363B6111" w14:textId="77777777" w:rsidR="000364F9" w:rsidRPr="00961597" w:rsidRDefault="000364F9" w:rsidP="000364F9">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NOTE TO SPECIFIER: Portland cement is not used with ALPHA DRY Base Coats.</w:t>
      </w:r>
    </w:p>
    <w:p w14:paraId="1F07A052" w14:textId="77777777" w:rsidR="000364F9" w:rsidRPr="00037F9C" w:rsidRDefault="000364F9" w:rsidP="00037F9C">
      <w:pPr>
        <w:widowControl w:val="0"/>
        <w:numPr>
          <w:ilvl w:val="0"/>
          <w:numId w:val="18"/>
        </w:numPr>
        <w:tabs>
          <w:tab w:val="left" w:pos="144"/>
          <w:tab w:val="left" w:pos="270"/>
          <w:tab w:val="left" w:pos="1872"/>
        </w:tabs>
        <w:autoSpaceDE w:val="0"/>
        <w:autoSpaceDN w:val="0"/>
        <w:adjustRightInd w:val="0"/>
        <w:ind w:hanging="72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037F9C">
        <w:rPr>
          <w:rFonts w:ascii="Arial" w:hAnsi="Arial" w:cs="Arial"/>
          <w:color w:val="0000FF"/>
          <w:sz w:val="20"/>
          <w:szCs w:val="20"/>
          <w:u w:val="single"/>
        </w:rPr>
        <w:t>Conform to ASTM C150, Type I, II, or I/II, grey or white; fresh and free of lumps.</w:t>
      </w:r>
    </w:p>
    <w:p w14:paraId="029E26C9" w14:textId="77777777" w:rsidR="000364F9" w:rsidRPr="00037F9C" w:rsidRDefault="000364F9" w:rsidP="00037F9C">
      <w:pPr>
        <w:widowControl w:val="0"/>
        <w:numPr>
          <w:ilvl w:val="0"/>
          <w:numId w:val="18"/>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037F9C">
        <w:rPr>
          <w:rFonts w:ascii="Arial" w:hAnsi="Arial" w:cs="Arial"/>
          <w:color w:val="000000"/>
          <w:sz w:val="20"/>
          <w:szCs w:val="20"/>
        </w:rPr>
        <w:t>Clean and potable without foreign matter.</w:t>
      </w:r>
    </w:p>
    <w:p w14:paraId="08429AF4" w14:textId="77777777" w:rsidR="000364F9" w:rsidRPr="00756806" w:rsidRDefault="000364F9" w:rsidP="00756806">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sidRPr="00756806">
        <w:rPr>
          <w:rFonts w:ascii="Arial" w:hAnsi="Arial" w:cs="Arial"/>
          <w:b/>
          <w:bCs/>
          <w:sz w:val="20"/>
          <w:szCs w:val="20"/>
        </w:rPr>
        <w:t>Senergy Reinforcing Mesh:</w:t>
      </w:r>
      <w:r w:rsidRPr="00756806">
        <w:rPr>
          <w:rFonts w:ascii="Arial" w:hAnsi="Arial" w:cs="Arial"/>
          <w:sz w:val="20"/>
          <w:szCs w:val="20"/>
        </w:rPr>
        <w:t xml:space="preserve"> balanced, open-weave glass, fiber reinforcing mesh, twisted multi-end strands treated for compatibility with Senergy Base Coats.</w:t>
      </w:r>
      <w:r w:rsidRPr="00756806">
        <w:rPr>
          <w:rFonts w:ascii="Arial" w:hAnsi="Arial" w:cs="Arial"/>
          <w:b/>
          <w:bCs/>
          <w:i/>
          <w:iCs/>
          <w:color w:val="0000FF"/>
          <w:sz w:val="20"/>
          <w:szCs w:val="20"/>
        </w:rPr>
        <w:t xml:space="preserve"> (</w:t>
      </w:r>
      <w:r w:rsidRPr="00756806">
        <w:rPr>
          <w:rFonts w:ascii="Arial" w:hAnsi="Arial" w:cs="Arial"/>
          <w:b/>
          <w:bCs/>
          <w:i/>
          <w:iCs/>
          <w:color w:val="0000FF"/>
          <w:sz w:val="20"/>
          <w:szCs w:val="20"/>
          <w:u w:val="single"/>
        </w:rPr>
        <w:t>Required</w:t>
      </w:r>
      <w:r w:rsidR="00756806" w:rsidRPr="00756806">
        <w:rPr>
          <w:rFonts w:ascii="Arial" w:hAnsi="Arial" w:cs="Arial"/>
          <w:b/>
          <w:bCs/>
          <w:i/>
          <w:iCs/>
          <w:color w:val="0000FF"/>
          <w:sz w:val="20"/>
          <w:szCs w:val="20"/>
          <w:u w:val="single"/>
        </w:rPr>
        <w:t>, Select One</w:t>
      </w:r>
      <w:r w:rsidRPr="00756806">
        <w:rPr>
          <w:rFonts w:ascii="Arial" w:hAnsi="Arial" w:cs="Arial"/>
          <w:b/>
          <w:bCs/>
          <w:i/>
          <w:iCs/>
          <w:color w:val="0000FF"/>
          <w:sz w:val="20"/>
          <w:szCs w:val="20"/>
          <w:u w:val="single"/>
        </w:rPr>
        <w:t>)</w:t>
      </w:r>
    </w:p>
    <w:p w14:paraId="7E3F4361" w14:textId="77777777" w:rsidR="000364F9" w:rsidRPr="00961597" w:rsidRDefault="000364F9" w:rsidP="00BA730E">
      <w:pPr>
        <w:widowControl w:val="0"/>
        <w:numPr>
          <w:ilvl w:val="0"/>
          <w:numId w:val="20"/>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961597">
        <w:rPr>
          <w:rFonts w:ascii="Arial" w:hAnsi="Arial" w:cs="Arial"/>
          <w:color w:val="0000FF"/>
          <w:sz w:val="20"/>
          <w:u w:val="single"/>
        </w:rPr>
        <w:t>FLEXGUARD 4: Standard weight, 4 oz.</w:t>
      </w:r>
    </w:p>
    <w:p w14:paraId="5C08CEAC" w14:textId="77777777" w:rsidR="000364F9" w:rsidRPr="00961597" w:rsidRDefault="000364F9"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961597">
        <w:rPr>
          <w:rFonts w:ascii="Arial" w:hAnsi="Arial" w:cs="Arial"/>
          <w:color w:val="0000FF"/>
          <w:sz w:val="20"/>
          <w:u w:val="single"/>
        </w:rPr>
        <w:t>INTERMEDIATE 6: Standard/medium weight, 6 oz.</w:t>
      </w:r>
    </w:p>
    <w:p w14:paraId="58ED8382" w14:textId="77777777" w:rsidR="000364F9" w:rsidRPr="00961597" w:rsidRDefault="000364F9"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961597">
        <w:rPr>
          <w:rFonts w:ascii="Arial" w:hAnsi="Arial" w:cs="Arial"/>
          <w:color w:val="0000FF"/>
          <w:sz w:val="20"/>
          <w:u w:val="single"/>
        </w:rPr>
        <w:t>INTERMEDIATE 12: Intermediate weight, 12 oz.</w:t>
      </w:r>
    </w:p>
    <w:p w14:paraId="2ADB0910" w14:textId="77777777" w:rsidR="000364F9" w:rsidRPr="00961597" w:rsidRDefault="000364F9" w:rsidP="00BA730E">
      <w:pPr>
        <w:widowControl w:val="0"/>
        <w:numPr>
          <w:ilvl w:val="0"/>
          <w:numId w:val="20"/>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u w:val="single"/>
        </w:rPr>
        <w:t>STRONG 15: Heavy weight, 15 oz. used only in combination with FLEXGUARD 4 or INTERMEDIATE 6.</w:t>
      </w:r>
    </w:p>
    <w:p w14:paraId="2FF787CD" w14:textId="77777777" w:rsidR="000364F9" w:rsidRPr="00961597" w:rsidRDefault="000364F9"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u w:val="single"/>
        </w:rPr>
        <w:t>HI-IMPACT 20: Heavy weight, 20 oz. used only in combination with FLEXGUARD 4 or INTERMEDIATE 6.</w:t>
      </w:r>
    </w:p>
    <w:p w14:paraId="462186E8" w14:textId="77777777" w:rsidR="000364F9" w:rsidRPr="00037F9C" w:rsidRDefault="00037F9C" w:rsidP="00037F9C">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rPr>
        <w:t xml:space="preserve">TINTED PRIMER by Master Builders Solutions (Optional): </w:t>
      </w:r>
      <w:r w:rsidR="000364F9" w:rsidRPr="00037F9C">
        <w:rPr>
          <w:rFonts w:ascii="Arial" w:hAnsi="Arial" w:cs="Arial"/>
          <w:color w:val="0000FF"/>
          <w:sz w:val="20"/>
          <w:szCs w:val="20"/>
          <w:u w:val="single"/>
        </w:rPr>
        <w:t>A</w:t>
      </w:r>
      <w:r w:rsidR="000364F9" w:rsidRPr="00037F9C">
        <w:rPr>
          <w:rFonts w:ascii="Arial" w:hAnsi="Arial" w:cs="Arial"/>
          <w:color w:val="0000FF"/>
          <w:sz w:val="20"/>
          <w:u w:val="single"/>
        </w:rPr>
        <w:t xml:space="preserve"> 100% acrylic-based primer that helps alleviate shadowing and enhances performance of the Senergy Wall Systems</w:t>
      </w:r>
      <w:r w:rsidR="000364F9" w:rsidRPr="00037F9C">
        <w:rPr>
          <w:rFonts w:ascii="Arial" w:hAnsi="Arial" w:cs="Arial"/>
          <w:color w:val="0000FF"/>
          <w:sz w:val="20"/>
          <w:szCs w:val="20"/>
          <w:u w:val="single"/>
        </w:rPr>
        <w:t>. Color to closely match the selected Senergy Finish color.</w:t>
      </w:r>
    </w:p>
    <w:p w14:paraId="0F415E68" w14:textId="77777777" w:rsidR="000364F9" w:rsidRPr="00037F9C" w:rsidRDefault="00037F9C" w:rsidP="00037F9C">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sz w:val="20"/>
          <w:szCs w:val="20"/>
        </w:rPr>
      </w:pPr>
      <w:r w:rsidRPr="00037F9C">
        <w:rPr>
          <w:rFonts w:ascii="Arial" w:hAnsi="Arial" w:cs="Arial"/>
          <w:b/>
          <w:bCs/>
          <w:color w:val="0000FF"/>
          <w:sz w:val="20"/>
          <w:szCs w:val="20"/>
          <w:u w:val="single"/>
        </w:rPr>
        <w:t>SENERFLEX</w:t>
      </w:r>
      <w:r w:rsidR="000364F9" w:rsidRPr="00037F9C">
        <w:rPr>
          <w:rFonts w:ascii="Arial" w:hAnsi="Arial" w:cs="Arial"/>
          <w:b/>
          <w:bCs/>
          <w:color w:val="0000FF"/>
          <w:sz w:val="20"/>
          <w:szCs w:val="20"/>
          <w:u w:val="single"/>
        </w:rPr>
        <w:t xml:space="preserve"> Finish Coat</w:t>
      </w:r>
      <w:r w:rsidRPr="00037F9C">
        <w:rPr>
          <w:rFonts w:ascii="Arial" w:hAnsi="Arial" w:cs="Arial"/>
          <w:b/>
          <w:bCs/>
          <w:sz w:val="20"/>
          <w:szCs w:val="20"/>
          <w:u w:val="single"/>
        </w:rPr>
        <w:t xml:space="preserve"> </w:t>
      </w:r>
      <w:r w:rsidR="000364F9" w:rsidRPr="00037F9C">
        <w:rPr>
          <w:rFonts w:ascii="Arial" w:hAnsi="Arial" w:cs="Arial"/>
          <w:b/>
          <w:bCs/>
          <w:i/>
          <w:iCs/>
          <w:color w:val="0000FF"/>
          <w:sz w:val="20"/>
          <w:szCs w:val="20"/>
          <w:u w:val="single"/>
        </w:rPr>
        <w:t>(</w:t>
      </w:r>
      <w:r w:rsidR="000364F9" w:rsidRPr="00961597">
        <w:rPr>
          <w:rFonts w:ascii="Arial" w:hAnsi="Arial" w:cs="Arial"/>
          <w:b/>
          <w:bCs/>
          <w:i/>
          <w:iCs/>
          <w:color w:val="0000FF"/>
          <w:sz w:val="20"/>
          <w:szCs w:val="20"/>
          <w:u w:val="single"/>
        </w:rPr>
        <w:t>Required, Select One or More Textures</w:t>
      </w:r>
      <w:r w:rsidR="000364F9" w:rsidRPr="00961597">
        <w:rPr>
          <w:rFonts w:ascii="Arial" w:hAnsi="Arial" w:cs="Arial"/>
          <w:b/>
          <w:bCs/>
          <w:i/>
          <w:iCs/>
          <w:color w:val="0000FF"/>
          <w:sz w:val="20"/>
          <w:szCs w:val="20"/>
        </w:rPr>
        <w:t>)</w:t>
      </w:r>
      <w:r>
        <w:rPr>
          <w:rFonts w:ascii="Arial" w:hAnsi="Arial" w:cs="Arial"/>
          <w:b/>
          <w:bCs/>
          <w:i/>
          <w:iCs/>
          <w:color w:val="0000FF"/>
          <w:sz w:val="20"/>
          <w:szCs w:val="20"/>
        </w:rPr>
        <w:t>:</w:t>
      </w:r>
      <w:r>
        <w:rPr>
          <w:rFonts w:ascii="Arial" w:hAnsi="Arial" w:cs="Arial"/>
          <w:sz w:val="20"/>
          <w:szCs w:val="20"/>
        </w:rPr>
        <w:t xml:space="preserve"> </w:t>
      </w:r>
      <w:r w:rsidR="000364F9" w:rsidRPr="00037F9C">
        <w:rPr>
          <w:rFonts w:ascii="Arial" w:hAnsi="Arial" w:cs="Arial"/>
          <w:color w:val="0000FF"/>
          <w:sz w:val="20"/>
          <w:szCs w:val="20"/>
          <w:u w:val="single"/>
        </w:rPr>
        <w:t xml:space="preserve">100% acrylic polymer finishes with advanced technology to improve long-term performance and dirt pick-up resistance; air cured, compatible with base coat; Senergy finish </w:t>
      </w:r>
    </w:p>
    <w:p w14:paraId="59CF7360" w14:textId="77777777" w:rsidR="000364F9" w:rsidRPr="00961597" w:rsidRDefault="000364F9" w:rsidP="000364F9">
      <w:pPr>
        <w:widowControl w:val="0"/>
        <w:tabs>
          <w:tab w:val="left" w:pos="144"/>
          <w:tab w:val="left" w:pos="270"/>
          <w:tab w:val="left" w:pos="540"/>
          <w:tab w:val="left" w:pos="1872"/>
        </w:tabs>
        <w:autoSpaceDE w:val="0"/>
        <w:autoSpaceDN w:val="0"/>
        <w:adjustRightInd w:val="0"/>
        <w:ind w:left="540"/>
        <w:rPr>
          <w:rFonts w:ascii="Arial" w:hAnsi="Arial" w:cs="Arial"/>
          <w:sz w:val="20"/>
          <w:szCs w:val="20"/>
        </w:rPr>
      </w:pPr>
      <w:r w:rsidRPr="00961597">
        <w:rPr>
          <w:rFonts w:ascii="Arial" w:hAnsi="Arial" w:cs="Arial"/>
          <w:color w:val="0000FF"/>
          <w:sz w:val="20"/>
          <w:szCs w:val="20"/>
          <w:u w:val="single"/>
        </w:rPr>
        <w:t xml:space="preserve">color [ ] as selected; finish texture: </w:t>
      </w:r>
    </w:p>
    <w:p w14:paraId="068A218A" w14:textId="77777777" w:rsidR="000364F9" w:rsidRPr="00961597" w:rsidRDefault="000364F9" w:rsidP="00BA730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 xml:space="preserve">CLASSIC: Has a medium </w:t>
      </w:r>
      <w:r>
        <w:rPr>
          <w:rFonts w:ascii="Arial" w:hAnsi="Arial" w:cs="Arial"/>
          <w:color w:val="0000FF"/>
          <w:sz w:val="20"/>
          <w:szCs w:val="20"/>
          <w:u w:val="single"/>
        </w:rPr>
        <w:t>wo</w:t>
      </w:r>
      <w:r w:rsidRPr="00961597">
        <w:rPr>
          <w:rFonts w:ascii="Arial" w:hAnsi="Arial" w:cs="Arial"/>
          <w:color w:val="0000FF"/>
          <w:sz w:val="20"/>
          <w:szCs w:val="20"/>
          <w:u w:val="single"/>
        </w:rPr>
        <w:t>rm-holed” appearance which is achieved by the random aggregate sizes in the Finish. The “worm-holed” look can be circular, random, vertical or horizontal.</w:t>
      </w:r>
    </w:p>
    <w:p w14:paraId="7C3561AD" w14:textId="77777777" w:rsidR="000364F9" w:rsidRPr="00961597" w:rsidRDefault="000364F9" w:rsidP="00BA730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COARSE: Has a heavy “worm-holed” appearance which is achieved by the random aggregate sizes in the finish. The “worm-holed” look can be circular, random, vertical or horizontal.</w:t>
      </w:r>
    </w:p>
    <w:p w14:paraId="26F1330B" w14:textId="77777777" w:rsidR="000364F9" w:rsidRPr="00961597" w:rsidRDefault="000364F9" w:rsidP="00BA730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FINE: Utilizes uniformly-sized aggregates for a uniform, fine texture.</w:t>
      </w:r>
    </w:p>
    <w:p w14:paraId="0E3FF6F4" w14:textId="77777777" w:rsidR="000364F9" w:rsidRPr="00961597" w:rsidRDefault="000364F9" w:rsidP="00BA730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lastRenderedPageBreak/>
        <w:t>TEXTURE: Can achieve a wide variety of free-formed, textured appearances, including stipple and skip-trowel</w:t>
      </w:r>
    </w:p>
    <w:p w14:paraId="46F1ACD5" w14:textId="77777777" w:rsidR="000364F9" w:rsidRPr="00961597" w:rsidRDefault="000364F9" w:rsidP="00BA730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SAHARA: Provides a uniform, “pebble” appearance.</w:t>
      </w:r>
    </w:p>
    <w:p w14:paraId="40803814"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1F422CC" w14:textId="77777777" w:rsidR="000364F9" w:rsidRPr="00C77963" w:rsidRDefault="000364F9"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3 - EXECUTION</w:t>
      </w:r>
    </w:p>
    <w:p w14:paraId="5DE7A32E" w14:textId="77777777" w:rsidR="000364F9" w:rsidRPr="00062EEA" w:rsidRDefault="000364F9" w:rsidP="00BA730E">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1A6C08F6" w14:textId="77777777" w:rsidR="000364F9" w:rsidRPr="00C77963"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and verify that substrate and adjacent materials are dry, clean, cured, sound and free of releasing agents, paint, or other residue or coatings. Verify substrate surface is flat, free of fins.</w:t>
      </w:r>
    </w:p>
    <w:p w14:paraId="3DA07266" w14:textId="77777777" w:rsidR="000364F9" w:rsidRPr="00C77963"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Ensure adhesion tests meet the requirements listed in the Basics of Conducting Adhesion Testing Senergy technical bulletin.</w:t>
      </w:r>
    </w:p>
    <w:p w14:paraId="4F519343" w14:textId="77777777" w:rsidR="000364F9" w:rsidRPr="00C77963"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p>
    <w:p w14:paraId="078B53E0" w14:textId="77777777" w:rsidR="000364F9" w:rsidRPr="00C77963" w:rsidRDefault="000364F9" w:rsidP="0024641F">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47591F">
        <w:rPr>
          <w:rFonts w:ascii="Arial" w:hAnsi="Arial" w:cs="Arial"/>
          <w:bCs/>
          <w:sz w:val="20"/>
          <w:szCs w:val="20"/>
        </w:rPr>
        <w:t>Direct Finishing System for Soffits and Ceilings</w:t>
      </w:r>
      <w:r w:rsidRPr="00C77963">
        <w:rPr>
          <w:rFonts w:ascii="Arial" w:hAnsi="Arial" w:cs="Arial"/>
          <w:sz w:val="20"/>
          <w:szCs w:val="20"/>
        </w:rPr>
        <w:t>.</w:t>
      </w:r>
    </w:p>
    <w:p w14:paraId="071D6663"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DED8550" w14:textId="77777777" w:rsidR="000364F9" w:rsidRPr="00C77963" w:rsidRDefault="000364F9" w:rsidP="00BA730E">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6C1FFB04" w14:textId="77777777" w:rsidR="000364F9" w:rsidRPr="00C77963" w:rsidRDefault="000364F9" w:rsidP="0024641F">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components must be clean, dry and free of airborne contaminants.</w:t>
      </w:r>
    </w:p>
    <w:p w14:paraId="21EDC80F" w14:textId="77777777" w:rsidR="000364F9" w:rsidRPr="00C77963" w:rsidRDefault="000364F9" w:rsidP="0024641F">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47591F">
        <w:rPr>
          <w:rFonts w:ascii="Arial" w:hAnsi="Arial" w:cs="Arial"/>
          <w:bCs/>
          <w:sz w:val="20"/>
          <w:szCs w:val="20"/>
        </w:rPr>
        <w:t>Direct Finishing System for Soffits and Ceilings</w:t>
      </w:r>
      <w:r w:rsidRPr="00C77963">
        <w:rPr>
          <w:rFonts w:ascii="Arial" w:hAnsi="Arial" w:cs="Arial"/>
          <w:sz w:val="20"/>
          <w:szCs w:val="20"/>
        </w:rPr>
        <w:t>.</w:t>
      </w:r>
    </w:p>
    <w:p w14:paraId="3A20A7D0" w14:textId="77777777" w:rsidR="000364F9" w:rsidRDefault="000364F9" w:rsidP="00BA730E">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1D2B187"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5AF14F26" w14:textId="77777777" w:rsidR="00C40833" w:rsidRPr="00062EEA" w:rsidRDefault="00C40833" w:rsidP="00BA730E">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76764D1A" w14:textId="77777777" w:rsidR="00C40833" w:rsidRPr="00062EEA" w:rsidRDefault="00C40833" w:rsidP="00C40833">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3378D8A8" w14:textId="77777777" w:rsidR="00C40833" w:rsidRPr="00062EEA" w:rsidRDefault="00C40833" w:rsidP="00C40833">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3E1C6266" w14:textId="77777777" w:rsidR="00C40833" w:rsidRPr="00062EEA" w:rsidRDefault="00C40833" w:rsidP="00BA730E">
      <w:pPr>
        <w:numPr>
          <w:ilvl w:val="0"/>
          <w:numId w:val="27"/>
        </w:numPr>
        <w:tabs>
          <w:tab w:val="left" w:pos="144"/>
          <w:tab w:val="num" w:pos="270"/>
          <w:tab w:val="left" w:pos="1008"/>
          <w:tab w:val="left" w:pos="1296"/>
          <w:tab w:val="left" w:pos="1584"/>
          <w:tab w:val="left" w:pos="1872"/>
        </w:tabs>
        <w:autoSpaceDE w:val="0"/>
        <w:autoSpaceDN w:val="0"/>
        <w:adjustRightInd w:val="0"/>
        <w:ind w:hanging="1008"/>
        <w:rPr>
          <w:rFonts w:ascii="Arial" w:hAnsi="Arial" w:cs="Arial"/>
          <w:b/>
          <w:bCs/>
          <w:color w:val="000000"/>
          <w:sz w:val="20"/>
          <w:szCs w:val="20"/>
        </w:rPr>
      </w:pPr>
      <w:r w:rsidRPr="00062EEA">
        <w:rPr>
          <w:rFonts w:ascii="Arial" w:hAnsi="Arial" w:cs="Arial"/>
          <w:b/>
          <w:bCs/>
          <w:color w:val="000000"/>
          <w:sz w:val="20"/>
          <w:szCs w:val="20"/>
        </w:rPr>
        <w:t>Base Coat:</w:t>
      </w:r>
    </w:p>
    <w:p w14:paraId="61F7B3D3" w14:textId="77777777" w:rsidR="00C40833" w:rsidRPr="00062EEA" w:rsidRDefault="00C40833" w:rsidP="00BA730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ALPHA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76BA9E82" w14:textId="77777777" w:rsidR="00C40833" w:rsidRPr="00062EEA" w:rsidRDefault="00C40833" w:rsidP="00BA730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XTRA-STOP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705FE0E7" w14:textId="77777777" w:rsidR="00C40833" w:rsidRPr="00062EEA" w:rsidRDefault="00C40833" w:rsidP="00BA730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GENIE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 </w:t>
      </w:r>
    </w:p>
    <w:p w14:paraId="2943EB8A" w14:textId="77777777" w:rsidR="00C40833" w:rsidRPr="00062EEA" w:rsidRDefault="00C40833" w:rsidP="00BA730E">
      <w:pPr>
        <w:widowControl w:val="0"/>
        <w:numPr>
          <w:ilvl w:val="1"/>
          <w:numId w:val="2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DRY Base Coat: Mix and </w:t>
      </w:r>
      <w:r>
        <w:rPr>
          <w:rFonts w:ascii="Arial" w:hAnsi="Arial" w:cs="Arial"/>
          <w:sz w:val="20"/>
          <w:szCs w:val="20"/>
        </w:rPr>
        <w:t>prepare each bag in a 5-gallos (19-liter)</w:t>
      </w:r>
      <w:r w:rsidRPr="00062EEA">
        <w:rPr>
          <w:rFonts w:ascii="Arial" w:hAnsi="Arial" w:cs="Arial"/>
          <w:sz w:val="20"/>
          <w:szCs w:val="20"/>
        </w:rPr>
        <w:t xml:space="preserve"> pail. Fill the container with ap</w:t>
      </w:r>
      <w:r>
        <w:rPr>
          <w:rFonts w:ascii="Arial" w:hAnsi="Arial" w:cs="Arial"/>
          <w:sz w:val="20"/>
          <w:szCs w:val="20"/>
        </w:rPr>
        <w:t>proximately 1.5-gallons (5.6-liters)</w:t>
      </w:r>
      <w:r w:rsidRPr="00062EEA">
        <w:rPr>
          <w:rFonts w:ascii="Arial" w:hAnsi="Arial"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2DAFDD15" w14:textId="77777777" w:rsidR="00C40833" w:rsidRPr="00037F9C" w:rsidRDefault="00037F9C" w:rsidP="00037F9C">
      <w:pPr>
        <w:widowControl w:val="0"/>
        <w:numPr>
          <w:ilvl w:val="0"/>
          <w:numId w:val="26"/>
        </w:numPr>
        <w:tabs>
          <w:tab w:val="clear" w:pos="1080"/>
          <w:tab w:val="left" w:pos="144"/>
          <w:tab w:val="left" w:pos="270"/>
          <w:tab w:val="num"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037F9C">
        <w:rPr>
          <w:rFonts w:ascii="Arial" w:hAnsi="Arial" w:cs="Arial"/>
          <w:b/>
          <w:bCs/>
          <w:sz w:val="20"/>
          <w:szCs w:val="20"/>
        </w:rPr>
        <w:t>TINTED PRIMER</w:t>
      </w:r>
      <w:r w:rsidR="00C40833" w:rsidRPr="00062EEA">
        <w:rPr>
          <w:rFonts w:ascii="Arial" w:hAnsi="Arial" w:cs="Arial"/>
          <w:b/>
          <w:bCs/>
          <w:sz w:val="20"/>
          <w:szCs w:val="20"/>
        </w:rPr>
        <w:t xml:space="preserve">: </w:t>
      </w:r>
      <w:r w:rsidR="00C40833" w:rsidRPr="00037F9C">
        <w:rPr>
          <w:rFonts w:ascii="Arial" w:hAnsi="Arial" w:cs="Arial"/>
          <w:sz w:val="20"/>
          <w:szCs w:val="20"/>
        </w:rPr>
        <w:t>Mix the factory-prepared material with a clean, rust-free paddle and drill until thoroughly blended. A small amount of clean, potable water may be added to adjust workability. Do not overwater.</w:t>
      </w:r>
    </w:p>
    <w:p w14:paraId="4EC14133" w14:textId="77777777" w:rsidR="00C40833" w:rsidRPr="00062EEA" w:rsidRDefault="00C40833" w:rsidP="00BA730E">
      <w:pPr>
        <w:widowControl w:val="0"/>
        <w:numPr>
          <w:ilvl w:val="0"/>
          <w:numId w:val="26"/>
        </w:numPr>
        <w:tabs>
          <w:tab w:val="left" w:pos="144"/>
          <w:tab w:val="left" w:pos="270"/>
          <w:tab w:val="num" w:pos="54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062EEA">
        <w:rPr>
          <w:rFonts w:ascii="Arial" w:hAnsi="Arial" w:cs="Arial"/>
          <w:b/>
          <w:bCs/>
          <w:sz w:val="20"/>
          <w:szCs w:val="20"/>
        </w:rPr>
        <w:t xml:space="preserve">Senergy Finishes: </w:t>
      </w:r>
    </w:p>
    <w:p w14:paraId="66EF21CF" w14:textId="77777777" w:rsidR="00C40833" w:rsidRPr="00062EEA" w:rsidRDefault="00C40833" w:rsidP="00BA730E">
      <w:pPr>
        <w:widowControl w:val="0"/>
        <w:numPr>
          <w:ilvl w:val="2"/>
          <w:numId w:val="26"/>
        </w:numPr>
        <w:tabs>
          <w:tab w:val="left" w:pos="144"/>
          <w:tab w:val="left" w:pos="432"/>
          <w:tab w:val="num" w:pos="540"/>
          <w:tab w:val="left" w:pos="1008"/>
          <w:tab w:val="left" w:pos="1260"/>
          <w:tab w:val="left" w:pos="1296"/>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SENERFLEX Finish: Mix the factory-prepared material with a clean, rust-free paddle and drill until thoroughly blended. </w:t>
      </w:r>
    </w:p>
    <w:p w14:paraId="7EF0EBB2" w14:textId="77777777" w:rsidR="00C40833" w:rsidRPr="00062EEA" w:rsidRDefault="00C40833" w:rsidP="00C40833">
      <w:pPr>
        <w:widowControl w:val="0"/>
        <w:tabs>
          <w:tab w:val="left" w:pos="144"/>
          <w:tab w:val="left" w:pos="432"/>
          <w:tab w:val="left" w:pos="1008"/>
          <w:tab w:val="left" w:pos="1260"/>
          <w:tab w:val="left" w:pos="1296"/>
          <w:tab w:val="left" w:pos="1872"/>
          <w:tab w:val="left" w:pos="2160"/>
        </w:tabs>
        <w:autoSpaceDE w:val="0"/>
        <w:autoSpaceDN w:val="0"/>
        <w:adjustRightInd w:val="0"/>
        <w:ind w:left="540"/>
        <w:rPr>
          <w:rFonts w:ascii="Arial" w:hAnsi="Arial" w:cs="Arial"/>
          <w:sz w:val="20"/>
          <w:szCs w:val="20"/>
        </w:rPr>
      </w:pPr>
      <w:r w:rsidRPr="00062EEA">
        <w:rPr>
          <w:rFonts w:ascii="Arial" w:hAnsi="Arial" w:cs="Arial"/>
          <w:sz w:val="20"/>
          <w:szCs w:val="20"/>
        </w:rPr>
        <w:t xml:space="preserve">A small amount of clean, potable water may be added to adjust workability. Do not overwater. </w:t>
      </w:r>
    </w:p>
    <w:p w14:paraId="7B8F0246"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385725F3" w14:textId="77777777" w:rsidR="00143CD9" w:rsidRPr="00C77963" w:rsidRDefault="00143CD9" w:rsidP="00BA730E">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lastRenderedPageBreak/>
        <w:t>APPLICATION</w:t>
      </w:r>
    </w:p>
    <w:p w14:paraId="0257B220" w14:textId="77777777" w:rsidR="00143CD9" w:rsidRPr="00611301" w:rsidRDefault="00143CD9" w:rsidP="00BA730E">
      <w:pPr>
        <w:numPr>
          <w:ilvl w:val="0"/>
          <w:numId w:val="28"/>
        </w:numPr>
        <w:tabs>
          <w:tab w:val="clear" w:pos="1890"/>
          <w:tab w:val="left" w:pos="144"/>
          <w:tab w:val="left" w:pos="270"/>
          <w:tab w:val="left" w:pos="1008"/>
          <w:tab w:val="left" w:pos="1296"/>
          <w:tab w:val="left" w:pos="1584"/>
          <w:tab w:val="left" w:pos="1872"/>
        </w:tabs>
        <w:autoSpaceDE w:val="0"/>
        <w:autoSpaceDN w:val="0"/>
        <w:adjustRightInd w:val="0"/>
        <w:ind w:hanging="1890"/>
        <w:rPr>
          <w:rFonts w:ascii="Arial" w:hAnsi="Arial" w:cs="Arial"/>
          <w:b/>
          <w:bCs/>
          <w:sz w:val="20"/>
          <w:szCs w:val="20"/>
        </w:rPr>
      </w:pPr>
      <w:r w:rsidRPr="00611301">
        <w:rPr>
          <w:rFonts w:ascii="Arial" w:hAnsi="Arial" w:cs="Arial"/>
          <w:b/>
          <w:bCs/>
          <w:sz w:val="20"/>
          <w:szCs w:val="20"/>
        </w:rPr>
        <w:t xml:space="preserve">Senergy Base Coat/Reinforcing Mesh: </w:t>
      </w:r>
    </w:p>
    <w:p w14:paraId="795916BD" w14:textId="77777777" w:rsidR="00143CD9" w:rsidRPr="00611301" w:rsidRDefault="00143CD9" w:rsidP="00143CD9">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69CA5BCD" w14:textId="77777777" w:rsidR="00143CD9" w:rsidRPr="00611301" w:rsidRDefault="005747FD" w:rsidP="00BA730E">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Base coat shall be applied</w:t>
      </w:r>
      <w:r w:rsidR="00143CD9" w:rsidRPr="00611301">
        <w:rPr>
          <w:rFonts w:ascii="Arial" w:hAnsi="Arial" w:cs="Arial"/>
          <w:sz w:val="20"/>
          <w:szCs w:val="20"/>
        </w:rPr>
        <w:t xml:space="preserve"> to achieve reinforcing mesh embedment with no reinforcing mesh color visible.</w:t>
      </w:r>
    </w:p>
    <w:p w14:paraId="1330C415" w14:textId="77777777" w:rsidR="00143CD9" w:rsidRPr="00611301" w:rsidRDefault="00143CD9" w:rsidP="00BA730E">
      <w:pPr>
        <w:numPr>
          <w:ilvl w:val="0"/>
          <w:numId w:val="28"/>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Standard Impact or Medium Impact Resistance Reinforcing Mesh:</w:t>
      </w:r>
      <w:r w:rsidRPr="00611301">
        <w:rPr>
          <w:rFonts w:ascii="Arial" w:hAnsi="Arial" w:cs="Arial"/>
          <w:sz w:val="20"/>
          <w:szCs w:val="20"/>
        </w:rPr>
        <w:t xml:space="preserve"> FLEXGUARD 4 INTERMEDIATE 6 and INTERMEDIATE 12</w:t>
      </w:r>
    </w:p>
    <w:p w14:paraId="50DF0FBA" w14:textId="77777777" w:rsidR="00143CD9" w:rsidRPr="00611301" w:rsidRDefault="00143CD9" w:rsidP="00BA730E">
      <w:pPr>
        <w:widowControl w:val="0"/>
        <w:numPr>
          <w:ilvl w:val="0"/>
          <w:numId w:val="31"/>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Install Senergy Reinforcing Mesh where indicated on drawings.</w:t>
      </w:r>
    </w:p>
    <w:p w14:paraId="186B31F5" w14:textId="77777777" w:rsidR="00143CD9" w:rsidRPr="00611301" w:rsidRDefault="00143CD9" w:rsidP="00BA730E">
      <w:pPr>
        <w:widowControl w:val="0"/>
        <w:numPr>
          <w:ilvl w:val="0"/>
          <w:numId w:val="3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Apply mixed Senergy Base Coat to entire surface of insulation board with a stainless steel trowel to embed the reinforcing mesh.</w:t>
      </w:r>
    </w:p>
    <w:p w14:paraId="6368403F" w14:textId="77777777" w:rsidR="00143CD9" w:rsidRPr="00611301" w:rsidRDefault="00143CD9" w:rsidP="00BA730E">
      <w:pPr>
        <w:widowControl w:val="0"/>
        <w:numPr>
          <w:ilvl w:val="0"/>
          <w:numId w:val="3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Immediately place Senergy Reinforcing Mesh against wet base coat and embed the reinforcing mesh into the base coat by troweling from the center to the edges.</w:t>
      </w:r>
    </w:p>
    <w:p w14:paraId="31758C3A" w14:textId="77777777" w:rsidR="00143CD9" w:rsidRPr="00611301" w:rsidRDefault="00143CD9" w:rsidP="00BA730E">
      <w:pPr>
        <w:widowControl w:val="0"/>
        <w:numPr>
          <w:ilvl w:val="0"/>
          <w:numId w:val="3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Pr>
          <w:rFonts w:ascii="Arial" w:hAnsi="Arial" w:cs="Arial"/>
          <w:sz w:val="20"/>
          <w:szCs w:val="20"/>
        </w:rPr>
        <w:t>ap reinforcing mesh 2 ½"</w:t>
      </w:r>
      <w:r w:rsidRPr="00611301">
        <w:rPr>
          <w:rFonts w:ascii="Arial" w:hAnsi="Arial" w:cs="Arial"/>
          <w:sz w:val="20"/>
          <w:szCs w:val="20"/>
        </w:rPr>
        <w:t xml:space="preserve"> </w:t>
      </w:r>
      <w:r>
        <w:rPr>
          <w:rFonts w:ascii="Arial" w:hAnsi="Arial" w:cs="Arial"/>
          <w:sz w:val="20"/>
          <w:szCs w:val="20"/>
        </w:rPr>
        <w:t xml:space="preserve">(64 mm) </w:t>
      </w:r>
      <w:r w:rsidRPr="00611301">
        <w:rPr>
          <w:rFonts w:ascii="Arial" w:hAnsi="Arial" w:cs="Arial"/>
          <w:sz w:val="20"/>
          <w:szCs w:val="20"/>
        </w:rPr>
        <w:t>minimum at edges.</w:t>
      </w:r>
    </w:p>
    <w:p w14:paraId="059150A9" w14:textId="77777777" w:rsidR="00143CD9" w:rsidRPr="00611301" w:rsidRDefault="00143CD9" w:rsidP="00BA730E">
      <w:pPr>
        <w:widowControl w:val="0"/>
        <w:numPr>
          <w:ilvl w:val="0"/>
          <w:numId w:val="3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32D010BA" w14:textId="77777777" w:rsidR="00143CD9" w:rsidRPr="00611301" w:rsidRDefault="00143CD9" w:rsidP="00BA730E">
      <w:pPr>
        <w:widowControl w:val="0"/>
        <w:numPr>
          <w:ilvl w:val="0"/>
          <w:numId w:val="3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Pr>
          <w:rFonts w:ascii="Arial" w:hAnsi="Arial" w:cs="Arial"/>
          <w:sz w:val="20"/>
          <w:szCs w:val="20"/>
        </w:rPr>
        <w:t>1/16" (</w:t>
      </w:r>
      <w:r w:rsidRPr="00611301">
        <w:rPr>
          <w:rFonts w:ascii="Arial" w:hAnsi="Arial" w:cs="Arial"/>
          <w:sz w:val="20"/>
          <w:szCs w:val="20"/>
        </w:rPr>
        <w:t>1.6 mm</w:t>
      </w:r>
      <w:r>
        <w:rPr>
          <w:rFonts w:ascii="Arial" w:hAnsi="Arial" w:cs="Arial"/>
          <w:sz w:val="20"/>
          <w:szCs w:val="20"/>
        </w:rPr>
        <w:t>)</w:t>
      </w:r>
      <w:r w:rsidRPr="00611301">
        <w:rPr>
          <w:rFonts w:ascii="Arial" w:hAnsi="Arial" w:cs="Arial"/>
          <w:sz w:val="20"/>
          <w:szCs w:val="20"/>
        </w:rPr>
        <w:t>.</w:t>
      </w:r>
    </w:p>
    <w:p w14:paraId="731E8549" w14:textId="77777777" w:rsidR="00143CD9" w:rsidRPr="00611301" w:rsidRDefault="00143CD9" w:rsidP="00BA730E">
      <w:pPr>
        <w:widowControl w:val="0"/>
        <w:numPr>
          <w:ilvl w:val="0"/>
          <w:numId w:val="31"/>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74EC39ED" w14:textId="77777777" w:rsidR="00143CD9" w:rsidRPr="00611301" w:rsidRDefault="00143CD9" w:rsidP="00BA730E">
      <w:pPr>
        <w:numPr>
          <w:ilvl w:val="0"/>
          <w:numId w:val="28"/>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High Impact or Ultra High Impact Resistance Reinforcing Mesh:</w:t>
      </w:r>
      <w:r w:rsidRPr="00611301">
        <w:rPr>
          <w:rFonts w:ascii="Arial" w:hAnsi="Arial" w:cs="Arial"/>
          <w:sz w:val="20"/>
          <w:szCs w:val="20"/>
        </w:rPr>
        <w:t xml:space="preserve"> INTERMEDIATE 12,</w:t>
      </w:r>
    </w:p>
    <w:p w14:paraId="25773568" w14:textId="77777777" w:rsidR="00143CD9" w:rsidRPr="00611301" w:rsidRDefault="00143CD9" w:rsidP="00143CD9">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sidRPr="00611301">
        <w:rPr>
          <w:rFonts w:ascii="Arial" w:hAnsi="Arial" w:cs="Arial"/>
          <w:sz w:val="20"/>
          <w:szCs w:val="20"/>
        </w:rPr>
        <w:t>STRONG 15 and HI-IMPACT 20</w:t>
      </w:r>
    </w:p>
    <w:p w14:paraId="69489771" w14:textId="77777777" w:rsidR="00143CD9" w:rsidRPr="00611301" w:rsidRDefault="00143CD9" w:rsidP="00143CD9">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611301">
        <w:rPr>
          <w:rFonts w:ascii="Arial" w:hAnsi="Arial" w:cs="Arial"/>
          <w:b/>
          <w:color w:val="0000FF"/>
          <w:sz w:val="20"/>
          <w:szCs w:val="20"/>
        </w:rPr>
        <w:t>NOTE TO SPECIFIER: Where STRONG 15 or HI-IMPACT 20 is specified, FLEXGUARD 4 or INTERMEDIATE 6 must be specified also.</w:t>
      </w:r>
    </w:p>
    <w:p w14:paraId="20E6C0E4"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Install Senergy Reinforcing Mesh where indicated on drawings.</w:t>
      </w:r>
    </w:p>
    <w:p w14:paraId="4F82A173"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Apply mixed Senergy Base Coat to entire surface of insulation board with a stainless steel trowel to embed the reinforcing mesh.</w:t>
      </w:r>
    </w:p>
    <w:p w14:paraId="6178A293"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Immediately place INTERMEDIATE 12, STRONG 15 or HI-IMPACT 20 against wet base coat and embed the reinforcing mesh into the base coat by troweling from the center to the edges.</w:t>
      </w:r>
    </w:p>
    <w:p w14:paraId="6C01CD86"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STRONG 15 or HI-IMPACT 20 at all adjoining edges; do not use to backwrap or bend around corners.</w:t>
      </w:r>
    </w:p>
    <w:p w14:paraId="1C366BA4"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STRONG 15 or HI-IMPACT 20 at adjoining edges of CORNER MESH.</w:t>
      </w:r>
    </w:p>
    <w:p w14:paraId="6ECC4406"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free of wrinkles and embedded in base coat so that no reinforcing mesh color is visible.</w:t>
      </w:r>
    </w:p>
    <w:p w14:paraId="2D5A8507" w14:textId="77777777" w:rsidR="00143CD9" w:rsidRPr="00611301" w:rsidRDefault="00143CD9" w:rsidP="00BA730E">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After base coat with embedded reinforcing mesh is dry and hard (normally 8 to 10 hours), apply a layer of FLEXGUARD 4 or INTERMEDIATE 6 Reinforcing Mesh over the entire surface in accordance with 3.04 to achieve total nominal base coat/ reinfo</w:t>
      </w:r>
      <w:r>
        <w:rPr>
          <w:rFonts w:ascii="Arial" w:hAnsi="Arial" w:cs="Arial"/>
          <w:sz w:val="20"/>
          <w:szCs w:val="20"/>
        </w:rPr>
        <w:t xml:space="preserve">rcing mesh thickness of </w:t>
      </w:r>
      <w:r w:rsidRPr="00611301">
        <w:rPr>
          <w:rFonts w:ascii="Arial" w:hAnsi="Arial" w:cs="Arial"/>
          <w:sz w:val="20"/>
          <w:szCs w:val="20"/>
        </w:rPr>
        <w:t>3/32"</w:t>
      </w:r>
      <w:r>
        <w:rPr>
          <w:rFonts w:ascii="Arial" w:hAnsi="Arial" w:cs="Arial"/>
          <w:sz w:val="20"/>
          <w:szCs w:val="20"/>
        </w:rPr>
        <w:t xml:space="preserve"> (2.4 mm)</w:t>
      </w:r>
      <w:r w:rsidRPr="00611301">
        <w:rPr>
          <w:rFonts w:ascii="Arial" w:hAnsi="Arial" w:cs="Arial"/>
          <w:sz w:val="20"/>
          <w:szCs w:val="20"/>
        </w:rPr>
        <w:t>.</w:t>
      </w:r>
    </w:p>
    <w:p w14:paraId="04AE3849" w14:textId="77777777" w:rsidR="00143CD9" w:rsidRPr="00611301" w:rsidRDefault="00143CD9" w:rsidP="00BA730E">
      <w:pPr>
        <w:numPr>
          <w:ilvl w:val="0"/>
          <w:numId w:val="28"/>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TINTED PRIMER:</w:t>
      </w:r>
    </w:p>
    <w:p w14:paraId="2AB1FAB9" w14:textId="77777777" w:rsidR="00143CD9" w:rsidRPr="00611301" w:rsidRDefault="00143CD9" w:rsidP="00BA730E">
      <w:pPr>
        <w:widowControl w:val="0"/>
        <w:numPr>
          <w:ilvl w:val="0"/>
          <w:numId w:val="29"/>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Apply TINTED PRIMER to the base coat/reinforc</w:t>
      </w:r>
      <w:r>
        <w:rPr>
          <w:rFonts w:ascii="Arial" w:hAnsi="Arial" w:cs="Arial"/>
          <w:sz w:val="20"/>
          <w:szCs w:val="20"/>
        </w:rPr>
        <w:t>ing mesh with a sprayer, ⅜"</w:t>
      </w:r>
      <w:r w:rsidRPr="00611301">
        <w:rPr>
          <w:rFonts w:ascii="Arial" w:hAnsi="Arial" w:cs="Arial"/>
          <w:sz w:val="20"/>
          <w:szCs w:val="20"/>
        </w:rPr>
        <w:t xml:space="preserve"> </w:t>
      </w:r>
      <w:r>
        <w:rPr>
          <w:rFonts w:ascii="Arial" w:hAnsi="Arial" w:cs="Arial"/>
          <w:sz w:val="20"/>
          <w:szCs w:val="20"/>
        </w:rPr>
        <w:t xml:space="preserve">(10 mm) </w:t>
      </w:r>
      <w:r w:rsidRPr="00611301">
        <w:rPr>
          <w:rFonts w:ascii="Arial" w:hAnsi="Arial" w:cs="Arial"/>
          <w:sz w:val="20"/>
          <w:szCs w:val="20"/>
        </w:rPr>
        <w:t>nap roller, or good quality latex paint brush at a rate of app</w:t>
      </w:r>
      <w:r>
        <w:rPr>
          <w:rFonts w:ascii="Arial" w:hAnsi="Arial" w:cs="Arial"/>
          <w:sz w:val="20"/>
          <w:szCs w:val="20"/>
        </w:rPr>
        <w:t>roximately 150–250 ft² per gallon (3.6–6.1m² per liter)</w:t>
      </w:r>
      <w:r w:rsidRPr="00611301">
        <w:rPr>
          <w:rFonts w:ascii="Arial" w:hAnsi="Arial" w:cs="Arial"/>
          <w:sz w:val="20"/>
          <w:szCs w:val="20"/>
        </w:rPr>
        <w:t>.</w:t>
      </w:r>
    </w:p>
    <w:p w14:paraId="08EC5983" w14:textId="77777777" w:rsidR="00143CD9" w:rsidRPr="00611301" w:rsidRDefault="00143CD9" w:rsidP="00BA730E">
      <w:pPr>
        <w:widowControl w:val="0"/>
        <w:numPr>
          <w:ilvl w:val="0"/>
          <w:numId w:val="29"/>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TINTED PRIMER shall be dry to the touch before proceeding to the Senergy Finish application.</w:t>
      </w:r>
    </w:p>
    <w:p w14:paraId="6E32A2F2" w14:textId="77777777" w:rsidR="00143CD9" w:rsidRPr="00611301" w:rsidRDefault="00143CD9" w:rsidP="00BA730E">
      <w:pPr>
        <w:numPr>
          <w:ilvl w:val="0"/>
          <w:numId w:val="28"/>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 xml:space="preserve">Senergy Finish Coat: </w:t>
      </w:r>
      <w:r w:rsidRPr="00611301">
        <w:rPr>
          <w:rFonts w:ascii="Arial" w:hAnsi="Arial" w:cs="Arial"/>
          <w:sz w:val="20"/>
          <w:szCs w:val="20"/>
        </w:rPr>
        <w:t>SENERFLEX</w:t>
      </w:r>
    </w:p>
    <w:p w14:paraId="27A20C23" w14:textId="77777777" w:rsidR="00143CD9" w:rsidRPr="00611301" w:rsidRDefault="00143CD9" w:rsidP="00BA730E">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Apply Senergy Finish to the base coat or primed base coat with a clean, stainless steel trowel.</w:t>
      </w:r>
    </w:p>
    <w:p w14:paraId="0EB855B0" w14:textId="77777777" w:rsidR="00143CD9" w:rsidRPr="00611301" w:rsidRDefault="00143CD9" w:rsidP="00BA730E">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and level Senergy Finish during the same operation to minimum obtainable thickness consistent with uniform coverage. </w:t>
      </w:r>
    </w:p>
    <w:p w14:paraId="50BBF28A" w14:textId="77777777" w:rsidR="00143CD9" w:rsidRPr="00611301" w:rsidRDefault="00143CD9" w:rsidP="00BA730E">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Maintain a wet edge on Senergy Finish by applying and texturing continually over the wall surface.</w:t>
      </w:r>
    </w:p>
    <w:p w14:paraId="55547B69" w14:textId="77777777" w:rsidR="00143CD9" w:rsidRPr="00611301" w:rsidRDefault="00143CD9" w:rsidP="00BA730E">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Work Senergy finish to corners, joints or other natural breaks and do not allow material to set up within an uninterrupted wall area. </w:t>
      </w:r>
    </w:p>
    <w:p w14:paraId="250F5ED6" w14:textId="77777777" w:rsidR="00143CD9" w:rsidRPr="00611301" w:rsidRDefault="00143CD9" w:rsidP="00BA730E">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Float Senergy Finish to achieve final texture.</w:t>
      </w:r>
    </w:p>
    <w:p w14:paraId="59B5FC9A" w14:textId="77777777" w:rsidR="00ED7EE6" w:rsidRDefault="00ED7EE6" w:rsidP="00ED7EE6">
      <w:pPr>
        <w:tabs>
          <w:tab w:val="left" w:pos="144"/>
          <w:tab w:val="left" w:pos="432"/>
          <w:tab w:val="left" w:pos="720"/>
          <w:tab w:val="left" w:pos="1008"/>
          <w:tab w:val="left" w:pos="1296"/>
          <w:tab w:val="left" w:pos="1584"/>
          <w:tab w:val="left" w:pos="1872"/>
        </w:tabs>
        <w:autoSpaceDE w:val="0"/>
        <w:autoSpaceDN w:val="0"/>
        <w:adjustRightInd w:val="0"/>
        <w:ind w:left="720"/>
        <w:rPr>
          <w:rFonts w:ascii="HelveticaNeue-LightCond" w:hAnsi="HelveticaNeue-LightCond" w:cs="HelveticaNeue-LightCond"/>
          <w:sz w:val="20"/>
          <w:szCs w:val="20"/>
          <w:lang w:eastAsia="ko-KR"/>
        </w:rPr>
      </w:pPr>
    </w:p>
    <w:p w14:paraId="35A87703"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AEA8A7B" w14:textId="77777777" w:rsidR="00143CD9" w:rsidRPr="00611301" w:rsidRDefault="00143CD9" w:rsidP="00BA730E">
      <w:pPr>
        <w:numPr>
          <w:ilvl w:val="4"/>
          <w:numId w:val="3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32CF42BD" w14:textId="77777777" w:rsidR="00962598" w:rsidRDefault="00143CD9" w:rsidP="00BA730E">
      <w:pPr>
        <w:numPr>
          <w:ilvl w:val="4"/>
          <w:numId w:val="3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sectPr w:rsidR="00962598" w:rsidSect="005A133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432" w:gutter="0"/>
          <w:cols w:space="720"/>
          <w:noEndnote/>
          <w:titlePg/>
        </w:sectPr>
      </w:pPr>
      <w:r w:rsidRPr="00611301">
        <w:rPr>
          <w:rFonts w:ascii="Arial" w:hAnsi="Arial" w:cs="Arial"/>
          <w:color w:val="000000"/>
          <w:sz w:val="20"/>
          <w:szCs w:val="20"/>
        </w:rPr>
        <w:t>Clean adjacent surfaces and remove excess material, droppings, and debris.</w:t>
      </w:r>
    </w:p>
    <w:p w14:paraId="54400D06" w14:textId="77777777" w:rsidR="00143CD9" w:rsidRDefault="00143CD9"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38407A25" w14:textId="77777777" w:rsidR="00824E91" w:rsidRPr="00611301" w:rsidRDefault="00824E91"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1C9AA48D"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73A77728" w14:textId="77777777" w:rsidR="00143CD9" w:rsidRDefault="00143CD9" w:rsidP="00BA730E">
      <w:pPr>
        <w:numPr>
          <w:ilvl w:val="0"/>
          <w:numId w:val="3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lastRenderedPageBreak/>
        <w:t xml:space="preserve">Protect finished work under provisions of Section </w:t>
      </w:r>
      <w:r w:rsidRPr="00143CD9">
        <w:rPr>
          <w:rFonts w:ascii="Arial" w:hAnsi="Arial" w:cs="Arial"/>
          <w:color w:val="000000"/>
          <w:sz w:val="20"/>
          <w:szCs w:val="20"/>
        </w:rPr>
        <w:t>[01 76 00] [x]</w:t>
      </w:r>
      <w:r w:rsidRPr="00611301">
        <w:rPr>
          <w:rFonts w:ascii="Arial" w:hAnsi="Arial" w:cs="Arial"/>
          <w:color w:val="000000"/>
          <w:sz w:val="20"/>
          <w:szCs w:val="20"/>
        </w:rPr>
        <w:t>.</w:t>
      </w:r>
    </w:p>
    <w:p w14:paraId="7A9333BC" w14:textId="77777777" w:rsidR="00143CD9" w:rsidRPr="00611301" w:rsidRDefault="00143CD9" w:rsidP="00143CD9">
      <w:pPr>
        <w:tabs>
          <w:tab w:val="left" w:pos="144"/>
          <w:tab w:val="left" w:pos="270"/>
          <w:tab w:val="left" w:pos="1008"/>
          <w:tab w:val="left" w:pos="1296"/>
          <w:tab w:val="left" w:pos="1584"/>
          <w:tab w:val="left" w:pos="1872"/>
        </w:tabs>
        <w:autoSpaceDE w:val="0"/>
        <w:autoSpaceDN w:val="0"/>
        <w:adjustRightInd w:val="0"/>
        <w:ind w:left="1152"/>
        <w:rPr>
          <w:rFonts w:ascii="Arial" w:hAnsi="Arial" w:cs="Arial"/>
          <w:color w:val="000000"/>
          <w:sz w:val="20"/>
          <w:szCs w:val="20"/>
        </w:rPr>
      </w:pPr>
    </w:p>
    <w:p w14:paraId="7C34BD63"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0E52762E" w14:textId="77777777" w:rsidR="00143CD9" w:rsidRPr="00611301" w:rsidRDefault="00143CD9" w:rsidP="00143CD9">
      <w:pPr>
        <w:rPr>
          <w:rFonts w:ascii="Arial" w:hAnsi="Arial" w:cs="Arial"/>
          <w:sz w:val="22"/>
          <w:szCs w:val="22"/>
        </w:rPr>
      </w:pPr>
    </w:p>
    <w:p w14:paraId="0C8C75E4" w14:textId="77777777" w:rsidR="00143CD9" w:rsidRPr="00611301" w:rsidRDefault="00143CD9" w:rsidP="00143CD9">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039361A1" w14:textId="5B546E7B" w:rsidR="00037F9C" w:rsidRPr="00037F9C" w:rsidRDefault="00037F9C" w:rsidP="00037F9C">
      <w:pPr>
        <w:rPr>
          <w:rFonts w:ascii="Arial" w:hAnsi="Arial" w:cs="Arial"/>
          <w:color w:val="000000"/>
          <w:spacing w:val="-5"/>
          <w:sz w:val="20"/>
          <w:szCs w:val="20"/>
        </w:rPr>
      </w:pPr>
      <w:r w:rsidRPr="00037F9C">
        <w:rPr>
          <w:rFonts w:ascii="Arial" w:hAnsi="Arial" w:cs="Arial"/>
          <w:color w:val="000000"/>
          <w:spacing w:val="-5"/>
          <w:sz w:val="20"/>
          <w:szCs w:val="20"/>
        </w:rPr>
        <w:t xml:space="preserve">Master Builders Solutions </w:t>
      </w:r>
      <w:r w:rsidR="008A1D8C">
        <w:rPr>
          <w:rFonts w:ascii="Arial" w:hAnsi="Arial" w:cs="Arial"/>
          <w:color w:val="000000"/>
          <w:spacing w:val="-5"/>
          <w:sz w:val="20"/>
          <w:szCs w:val="20"/>
        </w:rPr>
        <w:t xml:space="preserve">Construction Systems </w:t>
      </w:r>
      <w:r w:rsidRPr="00037F9C">
        <w:rPr>
          <w:rFonts w:ascii="Arial" w:hAnsi="Arial" w:cs="Arial"/>
          <w:color w:val="000000"/>
          <w:spacing w:val="-5"/>
          <w:sz w:val="20"/>
          <w:szCs w:val="20"/>
        </w:rPr>
        <w:t xml:space="preserve">US, LLC (hereinafter “Master Builders Solutions”) warrants this product to be free from manufacturing defects and to meet the technical properties on the current Product Bulletin, if used as directed within shelf life. Satisfactory results depend not only on quality products but also upon many factors beyond our control. MASTER BUILDERS SOLUTIONS MAKES NO OTHER WARRANTY OR GUARANTEE, EXPRESS OR IMPLIED, INCLUDING WARRANTIES OF MERCHANTABILITY OR FITNESS FOR A PARTICULAR PURPOSE WITH RESPECT TO ITS PRODUCTS. The sole and exclusive remedy of Purchaser for any claim concerning this product, including but not limited to, claims alleging breach of warranty, negligence, strict liability or otherwise, is shipment to purchaser of product equal to the amount of product that fails to meet this warranty or refund of the original purchase price of product that fails to meet this warranty, at the sole option of Master Builders Solutions. In the absence of an extended warranty issued by Master Builders Solutions, any claims concerning this product must be received in writing within one (1) year from the date of shipment and any claims not presented within that period are waived by Purchaser. Master Builders Solutions WILL NOT BE RESPONSIBLE FOR ANY SPECIAL, INCIDENTAL, CONSEQUENTIAL (INCLUDING LOST PROFITS) OR PUNITIVE DAMAGES OF ANY KIND. </w:t>
      </w:r>
    </w:p>
    <w:p w14:paraId="48152100" w14:textId="77777777" w:rsidR="00037F9C" w:rsidRPr="00037F9C" w:rsidRDefault="00037F9C" w:rsidP="00037F9C">
      <w:pPr>
        <w:rPr>
          <w:rFonts w:ascii="Arial" w:hAnsi="Arial" w:cs="Arial"/>
          <w:color w:val="000000"/>
          <w:spacing w:val="-5"/>
          <w:sz w:val="20"/>
          <w:szCs w:val="20"/>
        </w:rPr>
      </w:pPr>
    </w:p>
    <w:p w14:paraId="6D9FC9B9" w14:textId="77777777" w:rsidR="00037F9C" w:rsidRPr="00037F9C" w:rsidRDefault="00037F9C" w:rsidP="00037F9C">
      <w:pPr>
        <w:rPr>
          <w:rFonts w:ascii="Arial" w:hAnsi="Arial" w:cs="Arial"/>
        </w:rPr>
      </w:pPr>
      <w:r w:rsidRPr="00037F9C">
        <w:rPr>
          <w:rFonts w:ascii="Arial" w:hAnsi="Arial" w:cs="Arial"/>
          <w:color w:val="000000"/>
          <w:spacing w:val="-5"/>
          <w:sz w:val="20"/>
          <w:szCs w:val="20"/>
        </w:rPr>
        <w:t>Purchaser must determine the suitability of the products for the intended use and assumes all risks and liabilities in connection therewith. This information and all further technical advice are based on Master Builders Solutions’ present knowledge and experience. However, Master Builders Solutions assumes no liability for providing such information and advice including the extent to which such information and advice may relate to existing third party intellectual property rights, especially patent rights, nor shall any legal relationship be created by or arise from the provision of such information and advice. Master Builders Solutions reserves the right to make any changes according to technological progress or further developments. The Purchaser of the Product(s) must test the product(s) for suitability for the intended application and purpose before proceeding with a full application of the product(s). Performance of the product described herein should be verified by testing and carried out by qualified experts.</w:t>
      </w:r>
    </w:p>
    <w:p w14:paraId="260ABE69" w14:textId="77777777" w:rsidR="0060030E" w:rsidRDefault="0060030E"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hAnsi="Arial"/>
          <w:i/>
          <w:sz w:val="20"/>
          <w:szCs w:val="20"/>
        </w:rPr>
      </w:pPr>
    </w:p>
    <w:sectPr w:rsidR="0060030E" w:rsidSect="005A1339">
      <w:footerReference w:type="default" r:id="rId16"/>
      <w:type w:val="continuous"/>
      <w:pgSz w:w="12240" w:h="15840"/>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819F" w14:textId="77777777" w:rsidR="00B82864" w:rsidRDefault="00B82864">
      <w:r>
        <w:separator/>
      </w:r>
    </w:p>
  </w:endnote>
  <w:endnote w:type="continuationSeparator" w:id="0">
    <w:p w14:paraId="268349F2" w14:textId="77777777" w:rsidR="00B82864" w:rsidRDefault="00B8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variable"/>
    <w:sig w:usb0="00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B06F" w14:textId="77777777" w:rsidR="008A1D8C" w:rsidRDefault="008A1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519F" w14:textId="77777777" w:rsidR="00C40833" w:rsidRDefault="00C40833">
    <w:pPr>
      <w:pStyle w:val="Footer"/>
    </w:pPr>
  </w:p>
  <w:p w14:paraId="14222F95" w14:textId="77777777" w:rsidR="00C40833" w:rsidRDefault="00C4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6B9E" w14:textId="77777777" w:rsidR="00C40833" w:rsidRDefault="00C40833" w:rsidP="00BA2B6A">
    <w:pPr>
      <w:pStyle w:val="Footer"/>
      <w:jc w:val="right"/>
    </w:pPr>
  </w:p>
  <w:p w14:paraId="59434545" w14:textId="51601829" w:rsidR="00C40833" w:rsidRDefault="008A1D8C" w:rsidP="00BA2B6A">
    <w:pPr>
      <w:pStyle w:val="Footer"/>
      <w:jc w:val="right"/>
    </w:pPr>
    <w:r>
      <w:rPr>
        <w:noProof/>
      </w:rPr>
      <w:drawing>
        <wp:anchor distT="0" distB="0" distL="114300" distR="114300" simplePos="0" relativeHeight="251659264" behindDoc="1" locked="0" layoutInCell="1" allowOverlap="1" wp14:anchorId="1DA6EEFA" wp14:editId="53A3E39E">
          <wp:simplePos x="0" y="0"/>
          <wp:positionH relativeFrom="column">
            <wp:posOffset>4738370</wp:posOffset>
          </wp:positionH>
          <wp:positionV relativeFrom="paragraph">
            <wp:posOffset>-16510</wp:posOffset>
          </wp:positionV>
          <wp:extent cx="835025"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450850"/>
                  </a:xfrm>
                  <a:prstGeom prst="rect">
                    <a:avLst/>
                  </a:prstGeom>
                  <a:noFill/>
                </pic:spPr>
              </pic:pic>
            </a:graphicData>
          </a:graphic>
          <wp14:sizeRelH relativeFrom="page">
            <wp14:pctWidth>0</wp14:pctWidth>
          </wp14:sizeRelH>
          <wp14:sizeRelV relativeFrom="page">
            <wp14:pctHeight>0</wp14:pctHeight>
          </wp14:sizeRelV>
        </wp:anchor>
      </w:drawing>
    </w:r>
  </w:p>
  <w:p w14:paraId="04C53CBD" w14:textId="77777777" w:rsidR="00C40833" w:rsidRDefault="00C40833" w:rsidP="00BA2B6A">
    <w:pPr>
      <w:pStyle w:val="Footer"/>
      <w:tabs>
        <w:tab w:val="clear" w:pos="8640"/>
      </w:tabs>
      <w:ind w:right="-531"/>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0993" w14:textId="7D7F69CF" w:rsidR="00037F9C" w:rsidRPr="00037F9C" w:rsidRDefault="00037F9C" w:rsidP="00037F9C">
    <w:pPr>
      <w:tabs>
        <w:tab w:val="left" w:pos="1080"/>
      </w:tabs>
      <w:autoSpaceDE w:val="0"/>
      <w:autoSpaceDN w:val="0"/>
      <w:adjustRightInd w:val="0"/>
      <w:spacing w:line="288" w:lineRule="auto"/>
      <w:ind w:right="-630"/>
      <w:textAlignment w:val="center"/>
      <w:rPr>
        <w:rFonts w:ascii="HelveticaNeueLT Std Lt Cn" w:eastAsia="Arial" w:hAnsi="HelveticaNeueLT Std Lt Cn" w:cs="HelveticaNeueLT Std Lt Cn"/>
        <w:color w:val="000000"/>
        <w:spacing w:val="2"/>
        <w:sz w:val="16"/>
        <w:szCs w:val="16"/>
        <w:lang w:val="en-GB"/>
      </w:rPr>
    </w:pPr>
    <w:bookmarkStart w:id="0" w:name="_Hlk56497792"/>
    <w:r w:rsidRPr="00037F9C">
      <w:rPr>
        <w:rFonts w:ascii="HelveticaNeueLT Std Cn" w:eastAsia="Arial" w:hAnsi="HelveticaNeueLT Std Cn" w:cs="HelveticaNeueLT Std Cn"/>
        <w:b/>
        <w:bCs/>
        <w:color w:val="000000"/>
        <w:spacing w:val="2"/>
        <w:sz w:val="16"/>
        <w:szCs w:val="16"/>
        <w:lang w:val="en-GB"/>
      </w:rPr>
      <w:t>Master Builders Solutions</w:t>
    </w:r>
    <w:r w:rsidR="008A1D8C" w:rsidRPr="008A1D8C">
      <w:t xml:space="preserve"> </w:t>
    </w:r>
    <w:r w:rsidR="008A1D8C" w:rsidRPr="008A1D8C">
      <w:rPr>
        <w:rFonts w:ascii="HelveticaNeueLT Std Cn" w:eastAsia="Arial" w:hAnsi="HelveticaNeueLT Std Cn" w:cs="HelveticaNeueLT Std Cn"/>
        <w:b/>
        <w:bCs/>
        <w:color w:val="000000"/>
        <w:spacing w:val="2"/>
        <w:sz w:val="16"/>
        <w:szCs w:val="16"/>
        <w:lang w:val="en-GB"/>
      </w:rPr>
      <w:t>Construction Systems US, LLC</w:t>
    </w:r>
    <w:r w:rsidRPr="00037F9C">
      <w:rPr>
        <w:rFonts w:ascii="HelveticaNeueLT Std Cn" w:eastAsia="Arial" w:hAnsi="HelveticaNeueLT Std Cn" w:cs="HelveticaNeueLT Std Cn"/>
        <w:b/>
        <w:bCs/>
        <w:color w:val="000000"/>
        <w:spacing w:val="2"/>
        <w:sz w:val="16"/>
        <w:szCs w:val="16"/>
        <w:lang w:val="en-GB"/>
      </w:rPr>
      <w:t xml:space="preserve"> |</w:t>
    </w:r>
    <w:r w:rsidRPr="00037F9C">
      <w:rPr>
        <w:rFonts w:ascii="Minion Pro" w:eastAsia="Arial" w:hAnsi="Minion Pro" w:cs="Minion Pro"/>
        <w:color w:val="000000"/>
        <w:spacing w:val="2"/>
        <w:sz w:val="16"/>
        <w:szCs w:val="16"/>
        <w:lang w:val="en-GB"/>
      </w:rPr>
      <w:t xml:space="preserve"> </w:t>
    </w:r>
    <w:r w:rsidRPr="00037F9C">
      <w:rPr>
        <w:rFonts w:ascii="HelveticaNeueLT Std Lt Cn" w:eastAsia="Arial" w:hAnsi="HelveticaNeueLT Std Lt Cn" w:cs="HelveticaNeueLT Std Lt Cn"/>
        <w:color w:val="000000"/>
        <w:spacing w:val="2"/>
        <w:sz w:val="16"/>
        <w:szCs w:val="16"/>
        <w:lang w:val="en-GB"/>
      </w:rPr>
      <w:t>889 Valley Park Drive Shakopee, MN 55379    P: 800.221.9255    senergy.master-builders-solutions.com/en</w:t>
    </w:r>
  </w:p>
  <w:p w14:paraId="582B2724" w14:textId="77777777" w:rsidR="00037F9C" w:rsidRPr="00037F9C" w:rsidRDefault="00037F9C" w:rsidP="00037F9C">
    <w:pPr>
      <w:suppressAutoHyphens/>
      <w:autoSpaceDE w:val="0"/>
      <w:autoSpaceDN w:val="0"/>
      <w:adjustRightInd w:val="0"/>
      <w:spacing w:line="288" w:lineRule="auto"/>
      <w:ind w:right="-450"/>
      <w:textAlignment w:val="center"/>
      <w:rPr>
        <w:rFonts w:ascii="HelveticaNeueLT Std Lt Cn" w:eastAsia="Arial" w:hAnsi="HelveticaNeueLT Std Lt Cn" w:cs="HelveticaNeueLT Std Lt Cn"/>
        <w:color w:val="000000"/>
        <w:position w:val="2"/>
        <w:sz w:val="12"/>
        <w:szCs w:val="12"/>
      </w:rPr>
    </w:pPr>
    <w:r w:rsidRPr="00037F9C">
      <w:rPr>
        <w:rFonts w:ascii="HelveticaNeueLT Std Lt Cn" w:eastAsia="Arial" w:hAnsi="HelveticaNeueLT Std Lt Cn" w:cs="HelveticaNeueLT Std Lt Cn"/>
        <w:color w:val="000000"/>
        <w:position w:val="2"/>
        <w:sz w:val="12"/>
        <w:szCs w:val="12"/>
      </w:rPr>
      <w:t>© 2021 MBCC Group  rev 2106</w:t>
    </w:r>
    <w:r w:rsidR="00471EAF">
      <w:rPr>
        <w:rFonts w:ascii="HelveticaNeueLT Std Lt Cn" w:eastAsia="Arial" w:hAnsi="HelveticaNeueLT Std Lt Cn" w:cs="HelveticaNeueLT Std Lt Cn"/>
        <w:color w:val="000000"/>
        <w:position w:val="2"/>
        <w:sz w:val="12"/>
        <w:szCs w:val="12"/>
      </w:rPr>
      <w:t>10</w:t>
    </w:r>
  </w:p>
  <w:bookmarkEnd w:id="0"/>
  <w:p w14:paraId="0A8968A6" w14:textId="77777777" w:rsidR="00962598" w:rsidRDefault="00962598">
    <w:pPr>
      <w:pStyle w:val="Footer"/>
    </w:pPr>
  </w:p>
  <w:p w14:paraId="5480503E" w14:textId="77777777" w:rsidR="00962598" w:rsidRDefault="0096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0027" w14:textId="77777777" w:rsidR="00B82864" w:rsidRDefault="00B82864">
      <w:r>
        <w:separator/>
      </w:r>
    </w:p>
  </w:footnote>
  <w:footnote w:type="continuationSeparator" w:id="0">
    <w:p w14:paraId="3203768D" w14:textId="77777777" w:rsidR="00B82864" w:rsidRDefault="00B8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1480" w14:textId="77777777" w:rsidR="008A1D8C" w:rsidRDefault="008A1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3E5" w14:textId="77777777" w:rsidR="00C40833" w:rsidRPr="00084F92" w:rsidRDefault="00C40833" w:rsidP="0024641F">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 xml:space="preserve">Direct Finishing System for </w:t>
    </w:r>
    <w:r w:rsidR="0024641F">
      <w:rPr>
        <w:rFonts w:ascii="Arial" w:hAnsi="Arial" w:cs="Arial"/>
        <w:b/>
        <w:bCs/>
        <w:color w:val="000000"/>
      </w:rPr>
      <w:t>Soffits</w:t>
    </w:r>
    <w:r>
      <w:rPr>
        <w:rFonts w:ascii="Arial" w:hAnsi="Arial" w:cs="Arial"/>
        <w:b/>
        <w:bCs/>
        <w:color w:val="000000"/>
      </w:rPr>
      <w:t xml:space="preserve"> and Ceiling</w:t>
    </w:r>
    <w:r w:rsidR="0024641F">
      <w:rPr>
        <w:rFonts w:ascii="Arial" w:hAnsi="Arial" w:cs="Arial"/>
        <w:b/>
        <w:bCs/>
        <w:color w:val="000000"/>
      </w:rPr>
      <w:t>s</w:t>
    </w:r>
  </w:p>
  <w:p w14:paraId="40317230" w14:textId="77777777" w:rsidR="00C40833" w:rsidRDefault="00C40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F32C" w14:textId="44E1F6FF" w:rsidR="00962598" w:rsidRDefault="008A1D8C" w:rsidP="00962598">
    <w:pPr>
      <w:pStyle w:val="Header"/>
      <w:jc w:val="right"/>
    </w:pPr>
    <w:r>
      <w:rPr>
        <w:noProof/>
      </w:rPr>
      <w:drawing>
        <wp:anchor distT="0" distB="0" distL="114300" distR="114300" simplePos="0" relativeHeight="251658240" behindDoc="0" locked="0" layoutInCell="1" allowOverlap="1" wp14:anchorId="5F92A67E" wp14:editId="42835F0B">
          <wp:simplePos x="0" y="0"/>
          <wp:positionH relativeFrom="margin">
            <wp:posOffset>3947160</wp:posOffset>
          </wp:positionH>
          <wp:positionV relativeFrom="page">
            <wp:posOffset>205740</wp:posOffset>
          </wp:positionV>
          <wp:extent cx="1871980" cy="513080"/>
          <wp:effectExtent l="0" t="0" r="0" b="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C47"/>
    <w:multiLevelType w:val="hybridMultilevel"/>
    <w:tmpl w:val="30F6BB6A"/>
    <w:lvl w:ilvl="0" w:tplc="0409000F">
      <w:start w:val="1"/>
      <w:numFmt w:val="decimal"/>
      <w:lvlText w:val="%1."/>
      <w:lvlJc w:val="left"/>
      <w:pPr>
        <w:ind w:left="1440" w:hanging="360"/>
      </w:pPr>
      <w:rPr>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C5B54"/>
    <w:multiLevelType w:val="hybridMultilevel"/>
    <w:tmpl w:val="0BAE6296"/>
    <w:lvl w:ilvl="0" w:tplc="A172F95C">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D5445"/>
    <w:multiLevelType w:val="hybridMultilevel"/>
    <w:tmpl w:val="B32AEC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F336102"/>
    <w:multiLevelType w:val="hybridMultilevel"/>
    <w:tmpl w:val="B9AC92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15:restartNumberingAfterBreak="0">
    <w:nsid w:val="4240418F"/>
    <w:multiLevelType w:val="hybridMultilevel"/>
    <w:tmpl w:val="0CEABF3C"/>
    <w:lvl w:ilvl="0" w:tplc="68E6C45A">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13"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49784428"/>
    <w:multiLevelType w:val="hybridMultilevel"/>
    <w:tmpl w:val="CE4826E6"/>
    <w:lvl w:ilvl="0" w:tplc="2BA4057E">
      <w:start w:val="1"/>
      <w:numFmt w:val="upperLetter"/>
      <w:lvlText w:val="%1."/>
      <w:lvlJc w:val="left"/>
      <w:pPr>
        <w:tabs>
          <w:tab w:val="num" w:pos="720"/>
        </w:tabs>
        <w:ind w:left="1008" w:hanging="288"/>
      </w:pPr>
      <w:rPr>
        <w:rFonts w:hint="default"/>
      </w:rPr>
    </w:lvl>
    <w:lvl w:ilvl="1" w:tplc="D032FE84">
      <w:start w:val="1"/>
      <w:numFmt w:val="upperLetter"/>
      <w:lvlText w:val="%2."/>
      <w:lvlJc w:val="left"/>
      <w:pPr>
        <w:tabs>
          <w:tab w:val="num" w:pos="720"/>
        </w:tabs>
        <w:ind w:left="1008" w:hanging="288"/>
      </w:pPr>
      <w:rPr>
        <w:rFonts w:hint="default"/>
      </w:rPr>
    </w:lvl>
    <w:lvl w:ilvl="2" w:tplc="1F5A95CC">
      <w:start w:val="1"/>
      <w:numFmt w:val="upperLetter"/>
      <w:lvlText w:val="%3."/>
      <w:lvlJc w:val="left"/>
      <w:pPr>
        <w:tabs>
          <w:tab w:val="num" w:pos="720"/>
        </w:tabs>
        <w:ind w:left="1008" w:hanging="288"/>
      </w:pPr>
      <w:rPr>
        <w:rFonts w:hint="default"/>
      </w:rPr>
    </w:lvl>
    <w:lvl w:ilvl="3" w:tplc="03E2A142">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0C23508"/>
    <w:multiLevelType w:val="hybridMultilevel"/>
    <w:tmpl w:val="8398BD30"/>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9" w15:restartNumberingAfterBreak="0">
    <w:nsid w:val="65372FAB"/>
    <w:multiLevelType w:val="hybridMultilevel"/>
    <w:tmpl w:val="C1B6EA54"/>
    <w:lvl w:ilvl="0" w:tplc="9288E9A4">
      <w:start w:val="1"/>
      <w:numFmt w:val="decimal"/>
      <w:lvlText w:val="%1."/>
      <w:lvlJc w:val="left"/>
      <w:pPr>
        <w:tabs>
          <w:tab w:val="num" w:pos="2880"/>
        </w:tabs>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513B4"/>
    <w:multiLevelType w:val="hybridMultilevel"/>
    <w:tmpl w:val="332EDAB6"/>
    <w:lvl w:ilvl="0" w:tplc="6DC466CA">
      <w:start w:val="1"/>
      <w:numFmt w:val="upperLetter"/>
      <w:lvlText w:val="%1."/>
      <w:lvlJc w:val="left"/>
      <w:pPr>
        <w:tabs>
          <w:tab w:val="num" w:pos="864"/>
        </w:tabs>
        <w:ind w:left="115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12"/>
  </w:num>
  <w:num w:numId="2">
    <w:abstractNumId w:val="27"/>
  </w:num>
  <w:num w:numId="3">
    <w:abstractNumId w:val="18"/>
  </w:num>
  <w:num w:numId="4">
    <w:abstractNumId w:val="32"/>
  </w:num>
  <w:num w:numId="5">
    <w:abstractNumId w:val="8"/>
  </w:num>
  <w:num w:numId="6">
    <w:abstractNumId w:val="19"/>
  </w:num>
  <w:num w:numId="7">
    <w:abstractNumId w:val="34"/>
  </w:num>
  <w:num w:numId="8">
    <w:abstractNumId w:val="22"/>
  </w:num>
  <w:num w:numId="9">
    <w:abstractNumId w:val="17"/>
  </w:num>
  <w:num w:numId="10">
    <w:abstractNumId w:val="11"/>
  </w:num>
  <w:num w:numId="11">
    <w:abstractNumId w:val="20"/>
  </w:num>
  <w:num w:numId="12">
    <w:abstractNumId w:val="5"/>
  </w:num>
  <w:num w:numId="13">
    <w:abstractNumId w:val="13"/>
  </w:num>
  <w:num w:numId="14">
    <w:abstractNumId w:val="14"/>
  </w:num>
  <w:num w:numId="15">
    <w:abstractNumId w:val="23"/>
  </w:num>
  <w:num w:numId="16">
    <w:abstractNumId w:val="1"/>
  </w:num>
  <w:num w:numId="17">
    <w:abstractNumId w:val="29"/>
  </w:num>
  <w:num w:numId="18">
    <w:abstractNumId w:val="16"/>
  </w:num>
  <w:num w:numId="19">
    <w:abstractNumId w:val="2"/>
  </w:num>
  <w:num w:numId="20">
    <w:abstractNumId w:val="4"/>
  </w:num>
  <w:num w:numId="21">
    <w:abstractNumId w:val="0"/>
  </w:num>
  <w:num w:numId="22">
    <w:abstractNumId w:val="7"/>
  </w:num>
  <w:num w:numId="23">
    <w:abstractNumId w:val="3"/>
  </w:num>
  <w:num w:numId="24">
    <w:abstractNumId w:val="21"/>
  </w:num>
  <w:num w:numId="25">
    <w:abstractNumId w:val="25"/>
  </w:num>
  <w:num w:numId="26">
    <w:abstractNumId w:val="10"/>
  </w:num>
  <w:num w:numId="27">
    <w:abstractNumId w:val="6"/>
  </w:num>
  <w:num w:numId="28">
    <w:abstractNumId w:val="9"/>
  </w:num>
  <w:num w:numId="29">
    <w:abstractNumId w:val="33"/>
  </w:num>
  <w:num w:numId="30">
    <w:abstractNumId w:val="26"/>
  </w:num>
  <w:num w:numId="31">
    <w:abstractNumId w:val="31"/>
  </w:num>
  <w:num w:numId="32">
    <w:abstractNumId w:val="24"/>
  </w:num>
  <w:num w:numId="33">
    <w:abstractNumId w:val="15"/>
  </w:num>
  <w:num w:numId="34">
    <w:abstractNumId w:val="28"/>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364F9"/>
    <w:rsid w:val="00037F9C"/>
    <w:rsid w:val="0007280E"/>
    <w:rsid w:val="00084FB3"/>
    <w:rsid w:val="00093487"/>
    <w:rsid w:val="00143CD9"/>
    <w:rsid w:val="001A6E1A"/>
    <w:rsid w:val="0024641F"/>
    <w:rsid w:val="00320A7E"/>
    <w:rsid w:val="00345F6E"/>
    <w:rsid w:val="003E7D98"/>
    <w:rsid w:val="004615F6"/>
    <w:rsid w:val="00471EAF"/>
    <w:rsid w:val="0047591F"/>
    <w:rsid w:val="00493714"/>
    <w:rsid w:val="004C3655"/>
    <w:rsid w:val="004E3FC7"/>
    <w:rsid w:val="005747FD"/>
    <w:rsid w:val="005A1339"/>
    <w:rsid w:val="005A6655"/>
    <w:rsid w:val="0060030E"/>
    <w:rsid w:val="006022DD"/>
    <w:rsid w:val="006923F1"/>
    <w:rsid w:val="006B3B70"/>
    <w:rsid w:val="006B744C"/>
    <w:rsid w:val="006C3372"/>
    <w:rsid w:val="00756806"/>
    <w:rsid w:val="00811633"/>
    <w:rsid w:val="00824E91"/>
    <w:rsid w:val="008A1D8C"/>
    <w:rsid w:val="008C076D"/>
    <w:rsid w:val="00962598"/>
    <w:rsid w:val="009814F4"/>
    <w:rsid w:val="00991EE3"/>
    <w:rsid w:val="00B82864"/>
    <w:rsid w:val="00B97FA6"/>
    <w:rsid w:val="00BA2B6A"/>
    <w:rsid w:val="00BA730E"/>
    <w:rsid w:val="00C40833"/>
    <w:rsid w:val="00C90650"/>
    <w:rsid w:val="00C93D84"/>
    <w:rsid w:val="00D736B4"/>
    <w:rsid w:val="00ED7EE6"/>
    <w:rsid w:val="00F0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E011935"/>
  <w15:chartTrackingRefBased/>
  <w15:docId w15:val="{60D83436-9AF0-46D3-900D-35A492A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ASFSsotTitleGeneration xmlns="48b9aa7c-b73d-4a4a-b77e-1183b3047d34">false</BASFSsotTitleGeneration>
    <BASFGlobalBrandValue0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Senergy</TermName>
          <TermId xmlns="http://schemas.microsoft.com/office/infopath/2007/PartnerControls">8860efee-3d79-4aa7-8219-891118686802</TermId>
        </TermInfo>
        <TermInfo xmlns="http://schemas.microsoft.com/office/infopath/2007/PartnerControls">
          <TermName xmlns="http://schemas.microsoft.com/office/infopath/2007/PartnerControls">Wall Systems</TermName>
          <TermId xmlns="http://schemas.microsoft.com/office/infopath/2007/PartnerControls">55375f81-4413-4f57-ba58-97bd6497ccda</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5082</Value>
      <Value>2529</Value>
      <Value>4716</Value>
      <Value>4697</Value>
      <Value>5085</Value>
      <Value>664</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[{"LanguageCode":"en","Text":"senergy-specification-direct-applied-soffits-ceilings"}]</BASFTitlesTrans>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TargetSystemValue0 xmlns="48b9aa7c-b73d-4a4a-b77e-1183b3047d34" xsi:nil="true"/>
    <BASFSsotSourceIDSystem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_dlc_DocId xmlns="48b9aa7c-b73d-4a4a-b77e-1183b3047d34">DMSY-1685695220-118297</_dlc_DocId>
    <_dlc_DocIdUrl xmlns="48b9aa7c-b73d-4a4a-b77e-1183b3047d34">
      <Url>https://assets.master-builders-solutions.com/_layouts/15/DocIdRedir.aspx?ID=DMSY-1685695220-118297</Url>
      <Description>DMSY-1685695220-118297</Description>
    </_dlc_DocIdUrl>
    <BASFValidityDate xmlns="48b9aa7c-b73d-4a4a-b77e-1183b3047d34" xsi:nil="true"/>
    <BASFSpecificationId xmlns="48b9aa7c-b73d-4a4a-b77e-1183b3047d34" xsi:nil="true"/>
    <BASFReportVersion xmlns="48b9aa7c-b73d-4a4a-b77e-1183b3047d34" xsi:nil="true"/>
    <BASFSystemBuildsValue0 xmlns="48b9aa7c-b73d-4a4a-b77e-1183b3047d34" xsi:nil="true"/>
    <l35bf6f7caf145cba776f67172f725f4 xmlns="48b9aa7c-b73d-4a4a-b77e-1183b3047d34">
      <Terms xmlns="http://schemas.microsoft.com/office/infopath/2007/PartnerControls"/>
    </l35bf6f7caf145cba776f67172f725f4>
  </documentManagement>
</p:propertie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05523-133C-438B-BCC6-42FF49CF0EBE}"/>
</file>

<file path=customXml/itemProps2.xml><?xml version="1.0" encoding="utf-8"?>
<ds:datastoreItem xmlns:ds="http://schemas.openxmlformats.org/officeDocument/2006/customXml" ds:itemID="{1ED53F69-F10A-41B7-B92D-B76C0275F79B}"/>
</file>

<file path=customXml/itemProps3.xml><?xml version="1.0" encoding="utf-8"?>
<ds:datastoreItem xmlns:ds="http://schemas.openxmlformats.org/officeDocument/2006/customXml" ds:itemID="{9A8A9968-CF8A-42A6-8A3E-C93201AF2E64}"/>
</file>

<file path=customXml/itemProps4.xml><?xml version="1.0" encoding="utf-8"?>
<ds:datastoreItem xmlns:ds="http://schemas.openxmlformats.org/officeDocument/2006/customXml" ds:itemID="{53562A7B-0B17-4523-BECB-A2E1D99FCF99}"/>
</file>

<file path=docProps/app.xml><?xml version="1.0" encoding="utf-8"?>
<Properties xmlns="http://schemas.openxmlformats.org/officeDocument/2006/extended-properties" xmlns:vt="http://schemas.openxmlformats.org/officeDocument/2006/docPropsVTypes">
  <Template>Normal</Template>
  <TotalTime>5</TotalTime>
  <Pages>7</Pages>
  <Words>3329</Words>
  <Characters>18979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degussa wall systems</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senergy-specification-direct-applied-soffits-ceilings</dc:title>
  <dc:subject/>
  <dc:creator>info tech</dc:creator>
  <cp:keywords/>
  <cp:lastModifiedBy>Cristadoro, Elena</cp:lastModifiedBy>
  <cp:revision>2</cp:revision>
  <cp:lastPrinted>2010-07-30T18:48:00Z</cp:lastPrinted>
  <dcterms:created xsi:type="dcterms:W3CDTF">2021-06-11T16:44:00Z</dcterms:created>
  <dcterms:modified xsi:type="dcterms:W3CDTF">2021-06-11T16:44:00Z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0x0101005E7CFA13E5BA6244A1BB4894C5270BD5008C54F6DE1489BF44A2ED1987742644E9</vt:lpwstr>
  </property>
  <property fmtid="{D5CDD505-2E9C-101B-9397-08002B2CF9AE}" pid="3" name="_dlc_DocIdItemGuid">
    <vt:lpwstr>cf98d0d1-4cd9-4c81-aebe-721d97391a1a</vt:lpwstr>
  </property>
  <property fmtid="{D5CDD505-2E9C-101B-9397-08002B2CF9AE}" pid="4" name="BASFNews">
    <vt:lpwstr/>
  </property>
  <property fmtid="{D5CDD505-2E9C-101B-9397-08002B2CF9AE}" pid="5" name="Brands">
    <vt:lpwstr/>
  </property>
  <property fmtid="{D5CDD505-2E9C-101B-9397-08002B2CF9AE}" pid="6" name="BASFSsotLanguage">
    <vt:lpwstr>4697;#English|376a3ea5-e486-4c5f-9988-2335585fc407</vt:lpwstr>
  </property>
  <property fmtid="{D5CDD505-2E9C-101B-9397-08002B2CF9AE}" pid="7" name="BSM_Category">
    <vt:lpwstr/>
  </property>
  <property fmtid="{D5CDD505-2E9C-101B-9397-08002B2CF9AE}" pid="8" name="BASFSsotImageType">
    <vt:lpwstr/>
  </property>
  <property fmtid="{D5CDD505-2E9C-101B-9397-08002B2CF9AE}" pid="9" name="n1fb08f4f1a54ac9993feebbf9a2a445">
    <vt:lpwstr/>
  </property>
  <property fmtid="{D5CDD505-2E9C-101B-9397-08002B2CF9AE}" pid="10" name="Function">
    <vt:lpwstr/>
  </property>
  <property fmtid="{D5CDD505-2E9C-101B-9397-08002B2CF9AE}" pid="11" name="BASFGlobalBrand">
    <vt:lpwstr>5085;#Senergy|8860efee-3d79-4aa7-8219-891118686802;#5082;#Wall Systems|55375f81-4413-4f57-ba58-97bd6497ccda</vt:lpwstr>
  </property>
  <property fmtid="{D5CDD505-2E9C-101B-9397-08002B2CF9AE}" pid="12" name="BASFCompanyName">
    <vt:lpwstr/>
  </property>
  <property fmtid="{D5CDD505-2E9C-101B-9397-08002B2CF9AE}" pid="13" name="Country">
    <vt:lpwstr>664;#USA|f3876d8d-1bbb-4339-8979-e05c28d887bd</vt:lpwstr>
  </property>
  <property fmtid="{D5CDD505-2E9C-101B-9397-08002B2CF9AE}" pid="14" name="ProductApplications">
    <vt:lpwstr/>
  </property>
  <property fmtid="{D5CDD505-2E9C-101B-9397-08002B2CF9AE}" pid="15" name="BASFSsotPhotoGallery">
    <vt:bool>false</vt:bool>
  </property>
  <property fmtid="{D5CDD505-2E9C-101B-9397-08002B2CF9AE}" pid="16" name="BASFTechnicalDrawing">
    <vt:lpwstr/>
  </property>
  <property fmtid="{D5CDD505-2E9C-101B-9397-08002B2CF9AE}" pid="17" name="BASFSsotServices">
    <vt:lpwstr/>
  </property>
  <property fmtid="{D5CDD505-2E9C-101B-9397-08002B2CF9AE}" pid="18" name="BASFDocumentCategories">
    <vt:lpwstr>4716;#Detail|62897772-ca49-48bd-a1f3-b4a0f2034669</vt:lpwstr>
  </property>
  <property fmtid="{D5CDD505-2E9C-101B-9397-08002B2CF9AE}" pid="19" name="Region1">
    <vt:lpwstr/>
  </property>
  <property fmtid="{D5CDD505-2E9C-101B-9397-08002B2CF9AE}" pid="20" name="BASFSsotTargetSystem">
    <vt:lpwstr/>
  </property>
  <property fmtid="{D5CDD505-2E9C-101B-9397-08002B2CF9AE}" pid="21" name="ProductCategories">
    <vt:lpwstr/>
  </property>
  <property fmtid="{D5CDD505-2E9C-101B-9397-08002B2CF9AE}" pid="22" name="Solutions">
    <vt:lpwstr/>
  </property>
  <property fmtid="{D5CDD505-2E9C-101B-9397-08002B2CF9AE}" pid="23" name="ProductTypes">
    <vt:lpwstr/>
  </property>
  <property fmtid="{D5CDD505-2E9C-101B-9397-08002B2CF9AE}" pid="24" name="BASFProjectReferenc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2529;#Specifications|01e945c1-dec3-4c70-b9ca-51d8cbde0d5c</vt:lpwstr>
  </property>
</Properties>
</file>